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844d2_def14a.htm"/>
        <w:bookmarkStart w:id="1" w:name="kstm242844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557"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SCHEDULE 14A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20"/>
        </w:rPr>
        <w:t>(Rule 14a-101)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REQUIRED IN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SCHEDULE 14A INFORMATION </w:t>
        <w:br/>
        <w:t xml:space="preserve">Proxy Statement Pursuant to Section 14(a) of the Securities </w:t>
        <w:br/>
        <w:t>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 240.14a-12 </w:t>
      </w:r>
      <w:r>
        <mc:AlternateContent>
          <mc:Choice Requires="wps">
            <w:drawing>
              <wp:anchor behindDoc="0" distT="10160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REPAY HOLDINGS CORPORATION</w:t>
      </w:r>
      <w:r>
        <w:rPr>
          <w:rFonts w:ascii="Times New Roman;Times;serif" w:hAnsi="Times New Roman;Times;serif"/>
          <w:b/>
          <w:i w:val="false"/>
          <w:caps w:val="false"/>
          <w:smallCaps w:val="false"/>
          <w:color w:val="000000"/>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400300" cy="6381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400300" cy="638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6"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19, 2024</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Board of Directors, we cordially invite you to attend the Annual Meeting of Stockholders of Repay Holdings Corporation, which will be held virtually on Thursday, May 30, 2024, commencing at 10:00 a.m., Eastern Time. To attend the Annual Meeting, you must register in advance at </w:t>
      </w:r>
      <w:r>
        <w:rPr>
          <w:rFonts w:ascii="Times New Roman;Times;serif" w:hAnsi="Times New Roman;Times;serif"/>
          <w:b w:val="false"/>
          <w:i/>
          <w:caps w:val="false"/>
          <w:smallCaps w:val="false"/>
          <w:color w:val="000000"/>
          <w:spacing w:val="4"/>
          <w:sz w:val="20"/>
        </w:rPr>
        <w:t>www.viewproxy.com/Repay/2024</w:t>
      </w:r>
      <w:r>
        <w:rPr>
          <w:rFonts w:ascii="Times New Roman;Times;serif" w:hAnsi="Times New Roman;Times;serif"/>
          <w:b w:val="false"/>
          <w:i w:val="false"/>
          <w:caps w:val="false"/>
          <w:smallCaps w:val="false"/>
          <w:color w:val="000000"/>
          <w:spacing w:val="4"/>
          <w:sz w:val="20"/>
        </w:rPr>
        <w:t xml:space="preserve">. The meeting can be accessed through the link you receive following registration, where you will be able to listen to the meeting live, submit questions and vote online. Questions related to the Annual Meeting or voting matters can also be submitted in advance by email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or by telephone at 1-866-612-8937. The matters to be acted upon at the meeting are described in the attached Notice of Annual Meeting of Stockholders and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like to take this opportunity to highlight some important updates and achievements for Repay this year: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2023 Business Highlights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Repay delivered strong results across our key metrics, while lapping the divestiture of Blue Cow Software, Inc. on February 15, 2023. Throughout the year, we executed on our strategic initiatives to streamline the organization, improve our implementation processes, and enhance our payment technology for our clients. Our focus on profitable growth led to an improvement in free cash flow generation, and we utilized our share repurchase program to buyback $2.5 million of Class A shares during the year. We are committed to creating value for our stockholders with a disciplined approach to capital allocation towards organic growth, maintaining a strong balance sheet, and evaluating strategic, accretive M&amp;A opportunities.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Governance Updates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and 2023, we continued to engage with our stockholders at investor conferences and private meetings. In part as a result of feedback received from those meetings, in 2022, our Board of Directors and the Nominating and Corporate Governance Committee determined that it was in the best interest of our stockholders to declassify our Board of Directors resulting in a fully declassified Board of Directors by the 2024 Annual Meeting. This year, all of our directors will be up for re-election. We also adopted a new clawback policy which generally requires reimbursement or forfeiture of any excess incentive compensation received by an executive during the three fiscal years immediately preceding any accounting restatement.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stockholders of record at the close of business on April 8, 2024 are entitled to attend and vote at the Annual Meeting. If you were a beneficial holder as of the record date (i.e., you hold your shares in “street name” through an intermediary, such as a bank or broker), you must show proof of ownership to attend the Annual Meeting, and you must obtain a legal proxy, executed in your favor, from the holder of record in order to vote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order to attend or vote at the Annual Meeting, you must register in advance at </w:t>
      </w:r>
      <w:r>
        <w:rPr>
          <w:rFonts w:ascii="Times New Roman;Times;serif" w:hAnsi="Times New Roman;Times;serif"/>
          <w:b w:val="false"/>
          <w:i/>
          <w:caps w:val="false"/>
          <w:smallCaps w:val="false"/>
          <w:color w:val="000000"/>
          <w:spacing w:val="4"/>
          <w:sz w:val="20"/>
        </w:rPr>
        <w:t>www.viewproxy.com/Repay/2024</w:t>
      </w:r>
      <w:r>
        <w:rPr>
          <w:rFonts w:ascii="Times New Roman;Times;serif" w:hAnsi="Times New Roman;Times;serif"/>
          <w:b w:val="false"/>
          <w:i w:val="false"/>
          <w:caps w:val="false"/>
          <w:smallCaps w:val="false"/>
          <w:color w:val="000000"/>
          <w:spacing w:val="4"/>
          <w:sz w:val="20"/>
        </w:rPr>
        <w:t xml:space="preserve"> prior to the deadline of May 28, 2024 at 11:59 p.m., Eastern Time. Upon completing your registration, you will receive further instructions via email, including your unique link and password that will allow you access to the meeting, to submit questions during the meeting and to vote at the meeting. You will not be able to attend the Annual Meeting in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on the business to be considered at the meeting is important, regardless of the number of shares you own. Whether or not you plan to attend the meeting, please submit your proxy or voting instructions using one of the voting methods described in the accompanying Proxy Statement so that your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may be represented at the meeting. Submitting your proxy or voting instructions by any of these methods will not affect your right to attend the virtual meeting and for stockholders of record to vote your shares at the virtual meeting if you wish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we would like to thank you for your continued support and investment in Repay.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yours, </w:t>
      </w:r>
    </w:p>
    <w:p>
      <w:pPr>
        <w:pStyle w:val="TextBody"/>
        <w:bidi w:val="0"/>
        <w:spacing w:before="280" w:after="283"/>
        <w:ind w:left="6993" w:right="0" w:hanging="0"/>
        <w:jc w:val="left"/>
        <w:rPr>
          <w:caps w:val="false"/>
          <w:smallCaps w:val="false"/>
          <w:color w:val="000000"/>
        </w:rPr>
      </w:pPr>
      <w:r>
        <w:rPr>
          <w:caps w:val="false"/>
          <w:smallCaps w:val="false"/>
          <w:color w:val="000000"/>
        </w:rPr>
        <w:drawing>
          <wp:inline distT="0" distB="0" distL="0" distR="0">
            <wp:extent cx="981075" cy="6572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9810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Morris </w:t>
        <w:br/>
        <w:t xml:space="preserve">Chief Executive Officer and Director </w:t>
      </w:r>
    </w:p>
    <w:p>
      <w:pPr>
        <w:pStyle w:val="TextBody"/>
        <w:bidi w:val="0"/>
        <w:spacing w:before="400" w:after="283"/>
        <w:ind w:left="6993" w:right="0" w:hanging="0"/>
        <w:jc w:val="left"/>
        <w:rPr>
          <w:caps w:val="false"/>
          <w:smallCaps w:val="false"/>
          <w:color w:val="000000"/>
        </w:rPr>
      </w:pPr>
      <w:r>
        <w:rPr>
          <w:caps w:val="false"/>
          <w:smallCaps w:val="false"/>
          <w:color w:val="000000"/>
        </w:rPr>
        <w:drawing>
          <wp:inline distT="0" distB="0" distL="0" distR="0">
            <wp:extent cx="942975" cy="2952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942975" cy="2952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Peter Kight </w:t>
        <w:br/>
        <w:t>Chairman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REPAY HOLDINGS CORPORATION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TO BE HELD ON THURSDAY, MAY 30,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Notice is hereby given that the Annual Meeting of Stockholders of Repay Holdings Corporation, a Delaware corporation, will be held virtually on Thursday, May 30, 2024, at 10:00 a.m., Eastern Time. The meeting can be accessed through the link provided following registration where you will be able to listen to the meeting live, submit questions and vote online. If you plan to attend the virtual Annual Meeting, please see the instructions beginning on page </w:t>
      </w:r>
      <w:hyperlink w:anchor="tAATVAM">
        <w:r>
          <w:rPr>
            <w:rStyle w:val="InternetLink"/>
          </w:rPr>
          <w:t>2</w:t>
        </w:r>
      </w:hyperlink>
      <w:r>
        <w:rPr>
          <w:rFonts w:ascii="Times New Roman;Times;serif" w:hAnsi="Times New Roman;Times;serif"/>
          <w:b w:val="false"/>
          <w:i w:val="false"/>
          <w:caps w:val="false"/>
          <w:smallCaps w:val="false"/>
          <w:color w:val="000000"/>
          <w:spacing w:val="4"/>
          <w:sz w:val="20"/>
        </w:rPr>
        <w:t xml:space="preserve"> of the attached Proxy Statement. You will be required to register in advance at </w:t>
      </w:r>
      <w:r>
        <w:rPr>
          <w:rFonts w:ascii="Times New Roman;Times;serif" w:hAnsi="Times New Roman;Times;serif"/>
          <w:b w:val="false"/>
          <w:i/>
          <w:caps w:val="false"/>
          <w:smallCaps w:val="false"/>
          <w:color w:val="000000"/>
          <w:spacing w:val="4"/>
          <w:sz w:val="20"/>
        </w:rPr>
        <w:t>www.viewproxy.com/Repay/2024</w:t>
      </w:r>
      <w:r>
        <w:rPr>
          <w:rFonts w:ascii="Times New Roman;Times;serif" w:hAnsi="Times New Roman;Times;serif"/>
          <w:b w:val="false"/>
          <w:i w:val="false"/>
          <w:caps w:val="false"/>
          <w:smallCaps w:val="false"/>
          <w:color w:val="000000"/>
          <w:spacing w:val="4"/>
          <w:sz w:val="20"/>
        </w:rPr>
        <w:t xml:space="preserve"> prior to the deadline of May 28, 2024 at 11:59 p.m., Eastern Time in order to attend the meeting. There will be no physical location for stockholders to attend. Stockholders only may participate by logging in via the link provided using the password you receive following registration. We believe that a virtual Annual Meeting provides greater access to those who want to attend, and therefore have chosen this format over an in-person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stockholders will be asked to consider and vote upon the following proposals: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nine directors for terms expiring at the 2025 Annual Meeting of Stockholders; </w:t>
      </w:r>
      <w:r>
        <mc:AlternateContent>
          <mc:Choice Requires="wps">
            <w:drawing>
              <wp:anchor behindDoc="0" distT="11684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of our named executive officers (as defined in this Proxy Statement); </w:t>
      </w:r>
      <w:r>
        <mc:AlternateContent>
          <mc:Choice Requires="wps">
            <w:drawing>
              <wp:anchor behindDoc="0" distT="11684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and adopt an amendment and restatement of our Omnibus Incentive Plan (the “Second Amended and Restated Plan”); </w:t>
      </w:r>
      <w:r>
        <mc:AlternateContent>
          <mc:Choice Requires="wps">
            <w:drawing>
              <wp:anchor behindDoc="0" distT="11684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Grant Thornton, LLP as our independent registered public accounting firm for the fiscal year ending December 31, 2024; and </w:t>
      </w:r>
      <w:r>
        <mc:AlternateContent>
          <mc:Choice Requires="wps">
            <w:drawing>
              <wp:anchor behindDoc="0" distT="11684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meeting or any adjournment thereof. </w:t>
      </w:r>
      <w:r>
        <mc:AlternateContent>
          <mc:Choice Requires="wps">
            <w:drawing>
              <wp:anchor behindDoc="0" distT="11684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each of the nominees for directors (Proposal One),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of the compensation of our named executive officers (Proposal Two),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of the Second Amended and Restated Plan (Proposal Three)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ratification of the proposed independent registered public accounting firm (Proposal Four).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fixed the close of business on April 8, 2024 as the record date for determining the stockholders entitled to notice of, and to vote at, the Annual Meeting or any adjournments. For a period of 10 days ending on the day before the Annual Meeting, a list of such stockholders will be available for inspection by any stockholder at our principal executive offices during normal business hours.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were a beneficial holder as of April 8, 2024 (i.e., you hold your shares in “street name” through an intermediary, such as a bank or broker), you must obtain a legal proxy, executed in your favor, from the holder of record in order to vote at the Annual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access the Annual Meeting before the start time of 10:00 a.m., Eastern Time, on May 30, 2024. Please allow ample time for online check-in, which will begin at 9:30 a.m., Eastern Time, on May 30, 2024.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virtual Annual Meeting, our Board of Directors urges you to read the attached Proxy Statement and submit a proxy or voting instructions for your shares via the internet or by telephone, or complete, date, sign and return your proxy card or voting instruction form in the pre-addressed, postage-paid envelope provided.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We encourage you to submit your proxy or voting instructions via the internet, which is convenient, helps reduce the environmental impact of our Annual Meeting and saves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postage and processing costs. For instructions on how to submit your proxy or voting instructions, please refer to “General Information — Voting Methods” beginning on page 3 of the attached Proxy Statement.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1562100" cy="5715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1562100" cy="571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Tyler B. Dempsey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General Counsel and Secretary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Atlanta, Georgia </w:t>
        <w:br/>
        <w:t>April 19, 2024</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520"/>
        <w:gridCol w:w="109"/>
        <w:gridCol w:w="109"/>
        <w:gridCol w:w="109"/>
        <w:gridCol w:w="109"/>
        <w:gridCol w:w="468"/>
        <w:gridCol w:w="109"/>
        <w:gridCol w:w="155"/>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7520"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795"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GEIN">
              <w:r>
                <w:rPr>
                  <w:rStyle w:val="InternetLink"/>
                  <w:spacing w:val="4"/>
                </w:rPr>
                <w:t xml:space="preserve">GENERAL INFORMATION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GEIN">
              <w:r>
                <w:rPr>
                  <w:rStyle w:val="InternetLink"/>
                  <w:spacing w:val="4"/>
                </w:rPr>
                <w:t>1</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POOD">
              <w:r>
                <w:rPr>
                  <w:rStyle w:val="InternetLink"/>
                  <w:spacing w:val="4"/>
                </w:rPr>
                <w:t xml:space="preserve">PROPOSAL ONE: ELECTION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OOD">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EOOR">
              <w:r>
                <w:rPr>
                  <w:rStyle w:val="InternetLink"/>
                  <w:spacing w:val="4"/>
                </w:rPr>
                <w:t xml:space="preserve">EXECUTIVE OFFICERS OF REPAY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EOOR">
              <w:r>
                <w:rPr>
                  <w:rStyle w:val="InternetLink"/>
                  <w:spacing w:val="4"/>
                </w:rPr>
                <w:t>12</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COGO">
              <w:r>
                <w:rPr>
                  <w:rStyle w:val="InternetLink"/>
                  <w:spacing w:val="4"/>
                </w:rPr>
                <w:t xml:space="preserve">CORPORATE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COGO">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ROAC">
              <w:r>
                <w:rPr>
                  <w:rStyle w:val="InternetLink"/>
                  <w:spacing w:val="4"/>
                </w:rPr>
                <w:t xml:space="preserve">REPORT OF AUDIT COMMITTEE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ROAC">
              <w:r>
                <w:rPr>
                  <w:rStyle w:val="InternetLink"/>
                  <w:spacing w:val="4"/>
                </w:rPr>
                <w:t>23</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CDAA">
              <w:r>
                <w:rPr>
                  <w:rStyle w:val="InternetLink"/>
                  <w:spacing w:val="4"/>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CDAA">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EXSU">
              <w:r>
                <w:rPr>
                  <w:rStyle w:val="InternetLink"/>
                  <w:spacing w:val="4"/>
                </w:rPr>
                <w:t xml:space="preserve">Executive Summary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EXSU">
              <w:r>
                <w:rPr>
                  <w:rStyle w:val="InternetLink"/>
                  <w:spacing w:val="4"/>
                </w:rPr>
                <w:t>25</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PFDN">
              <w:r>
                <w:rPr>
                  <w:rStyle w:val="InternetLink"/>
                  <w:spacing w:val="4"/>
                </w:rPr>
                <w:t xml:space="preserve">Process for Determining Named Executive Officers’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FDN">
              <w:r>
                <w:rPr>
                  <w:rStyle w:val="InternetLink"/>
                  <w:spacing w:val="4"/>
                </w:rPr>
                <w:t>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NEOC">
              <w:r>
                <w:rPr>
                  <w:rStyle w:val="InternetLink"/>
                  <w:spacing w:val="4"/>
                </w:rPr>
                <w:t xml:space="preserve">Named Executive Officers’ Compensation in 2023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NEOC">
              <w:r>
                <w:rPr>
                  <w:rStyle w:val="InternetLink"/>
                  <w:spacing w:val="4"/>
                </w:rPr>
                <w:t>32</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OICP">
              <w:r>
                <w:rPr>
                  <w:rStyle w:val="InternetLink"/>
                  <w:spacing w:val="4"/>
                </w:rPr>
                <w:t xml:space="preserve">Other Important Compensation Policies Affecting the Named 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OICP">
              <w:r>
                <w:rPr>
                  <w:rStyle w:val="InternetLink"/>
                  <w:spacing w:val="4"/>
                </w:rPr>
                <w:t>37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ACM">
              <w:r>
                <w:rPr>
                  <w:rStyle w:val="InternetLink"/>
                  <w:spacing w:val="4"/>
                </w:rPr>
                <w:t xml:space="preserve">Additional Compensation Matters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ACM">
              <w:r>
                <w:rPr>
                  <w:rStyle w:val="InternetLink"/>
                  <w:spacing w:val="4"/>
                </w:rPr>
                <w:t>42</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EXCO">
              <w:r>
                <w:rPr>
                  <w:rStyle w:val="InternetLink"/>
                  <w:spacing w:val="4"/>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EXCO">
              <w:r>
                <w:rPr>
                  <w:rStyle w:val="InternetLink"/>
                  <w:spacing w:val="4"/>
                </w:rPr>
                <w:t>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SECT">
              <w:r>
                <w:rPr>
                  <w:rStyle w:val="InternetLink"/>
                  <w:spacing w:val="4"/>
                </w:rPr>
                <w:t xml:space="preserve">Summary Executive Compensation Table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SECT">
              <w:r>
                <w:rPr>
                  <w:rStyle w:val="InternetLink"/>
                  <w:spacing w:val="4"/>
                </w:rPr>
                <w:t>44</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GOPA">
              <w:r>
                <w:rPr>
                  <w:rStyle w:val="InternetLink"/>
                  <w:spacing w:val="4"/>
                </w:rPr>
                <w:t xml:space="preserve">Grants of Plan-Based Awards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GOPA">
              <w:r>
                <w:rPr>
                  <w:rStyle w:val="InternetLink"/>
                  <w:spacing w:val="4"/>
                </w:rPr>
                <w:t>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400" w:right="0" w:hanging="200"/>
              <w:jc w:val="left"/>
              <w:rPr/>
            </w:pPr>
            <w:hyperlink w:anchor="tNDTS">
              <w:r>
                <w:rPr>
                  <w:rStyle w:val="InternetLink"/>
                  <w:spacing w:val="4"/>
                </w:rPr>
                <w:t xml:space="preserve">Narrative Disclosure to Summary Executive Compensation Table and Grants of Plan-Based Awards Table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NDTS">
              <w:r>
                <w:rPr>
                  <w:rStyle w:val="InternetLink"/>
                  <w:spacing w:val="4"/>
                </w:rPr>
                <w:t>46</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Fiscal Year-End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OEAA">
              <w:r>
                <w:rPr>
                  <w:rStyle w:val="InternetLink"/>
                  <w:spacing w:val="4"/>
                </w:rPr>
                <w:t>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OEAS">
              <w:r>
                <w:rPr>
                  <w:rStyle w:val="InternetLink"/>
                  <w:spacing w:val="4"/>
                </w:rPr>
                <w:t xml:space="preserve">Option Exercises and Stock Vested Table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OEAS">
              <w:r>
                <w:rPr>
                  <w:rStyle w:val="InternetLink"/>
                  <w:spacing w:val="4"/>
                </w:rPr>
                <w:t>48</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PPUT">
              <w:r>
                <w:rPr>
                  <w:rStyle w:val="InternetLink"/>
                  <w:spacing w:val="4"/>
                </w:rPr>
                <w:t xml:space="preserve">Potential Payments Upon Termination or Change-In-Control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PUT">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PRD">
              <w:r>
                <w:rPr>
                  <w:rStyle w:val="InternetLink"/>
                  <w:spacing w:val="4"/>
                </w:rPr>
                <w:t xml:space="preserve">Pay Ratio Disclosure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PRD">
              <w:r>
                <w:rPr>
                  <w:rStyle w:val="InternetLink"/>
                  <w:spacing w:val="4"/>
                </w:rPr>
                <w:t>51</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PVP">
              <w:r>
                <w:rPr>
                  <w:rStyle w:val="InternetLink"/>
                  <w:spacing w:val="4"/>
                </w:rPr>
                <w:t xml:space="preserve">Pay Versus Performance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VP">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DICO">
              <w:r>
                <w:rPr>
                  <w:rStyle w:val="InternetLink"/>
                  <w:spacing w:val="4"/>
                </w:rPr>
                <w:t xml:space="preserve">DIRECTOR COMPENSATION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DICO">
              <w:r>
                <w:rPr>
                  <w:rStyle w:val="InternetLink"/>
                  <w:spacing w:val="4"/>
                </w:rPr>
                <w:t>57</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0"/>
              <w:jc w:val="left"/>
              <w:rPr/>
            </w:pPr>
            <w:hyperlink w:anchor="t2DCT">
              <w:r>
                <w:rPr>
                  <w:rStyle w:val="InternetLink"/>
                  <w:spacing w:val="4"/>
                </w:rPr>
                <w:t xml:space="preserve">2023 Director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2DCT">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0"/>
              <w:jc w:val="left"/>
              <w:rPr/>
            </w:pPr>
            <w:hyperlink w:anchor="tNDTD">
              <w:r>
                <w:rPr>
                  <w:rStyle w:val="InternetLink"/>
                  <w:spacing w:val="4"/>
                </w:rPr>
                <w:t xml:space="preserve">Narrative Disclosure to Director Compensation Table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NDTD">
              <w:r>
                <w:rPr>
                  <w:rStyle w:val="InternetLink"/>
                  <w:spacing w:val="4"/>
                </w:rPr>
                <w:t>57</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CCIA">
              <w:r>
                <w:rPr>
                  <w:rStyle w:val="InternetLink"/>
                  <w:spacing w:val="4"/>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CCIA">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CCR">
              <w:r>
                <w:rPr>
                  <w:rStyle w:val="InternetLink"/>
                  <w:spacing w:val="4"/>
                </w:rPr>
                <w:t xml:space="preserve">COMPENSATION COMMITTEE REPORT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CCR">
              <w:r>
                <w:rPr>
                  <w:rStyle w:val="InternetLink"/>
                  <w:spacing w:val="4"/>
                </w:rPr>
                <w:t>60</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SOOC">
              <w:r>
                <w:rPr>
                  <w:rStyle w:val="InternetLink"/>
                  <w:spacing w:val="4"/>
                </w:rPr>
                <w:t>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DS1R">
              <w:r>
                <w:rPr>
                  <w:rStyle w:val="InternetLink"/>
                  <w:spacing w:val="4"/>
                </w:rPr>
                <w:t xml:space="preserve">DELINQUENT SECTION 16(a) REPORTS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DS1R">
              <w:r>
                <w:rPr>
                  <w:rStyle w:val="InternetLink"/>
                  <w:spacing w:val="4"/>
                </w:rPr>
                <w:t>66</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RPT">
              <w:r>
                <w:rPr>
                  <w:rStyle w:val="InternetLink"/>
                  <w:spacing w:val="4"/>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RPT">
              <w:r>
                <w:rPr>
                  <w:rStyle w:val="InternetLink"/>
                  <w:spacing w:val="4"/>
                </w:rPr>
                <w:t>67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AUFE">
              <w:r>
                <w:rPr>
                  <w:rStyle w:val="InternetLink"/>
                  <w:spacing w:val="4"/>
                </w:rPr>
                <w:t xml:space="preserve">AUDITOR FEES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AUFE">
              <w:r>
                <w:rPr>
                  <w:rStyle w:val="InternetLink"/>
                  <w:spacing w:val="4"/>
                </w:rPr>
                <w:t>71</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283"/>
              <w:jc w:val="left"/>
              <w:rPr/>
            </w:pPr>
            <w:hyperlink w:anchor="tPTAV">
              <w:r>
                <w:rPr>
                  <w:rStyle w:val="InternetLink"/>
                  <w:spacing w:val="4"/>
                </w:rPr>
                <w:t xml:space="preserve">PROPOSAL TWO: ADVISORY VOTE ON 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TAV">
              <w:r>
                <w:rPr>
                  <w:rStyle w:val="InternetLink"/>
                  <w:spacing w:val="4"/>
                </w:rPr>
                <w:t>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0"/>
              <w:ind w:left="200" w:right="0" w:hanging="200"/>
              <w:jc w:val="left"/>
              <w:rPr/>
            </w:pPr>
            <w:hyperlink w:anchor="tPTAO">
              <w:r>
                <w:rPr>
                  <w:rStyle w:val="InternetLink"/>
                  <w:spacing w:val="4"/>
                </w:rPr>
                <w:t xml:space="preserve">PROPOSAL THREE: APPROVAL OF THE AMENDMENT AND RESTATEMENT OF THE COMPANY’S OMNIBUS INCENTIVE PLAN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PTAO">
              <w:r>
                <w:rPr>
                  <w:rStyle w:val="InternetLink"/>
                  <w:spacing w:val="4"/>
                </w:rPr>
                <w:t>73</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200"/>
              <w:jc w:val="left"/>
              <w:rPr/>
            </w:pPr>
            <w:hyperlink w:anchor="tPFRO">
              <w:r>
                <w:rPr>
                  <w:rStyle w:val="InternetLink"/>
                  <w:spacing w:val="4"/>
                </w:rPr>
                <w:t xml:space="preserve">PROPOSAL FOUR: RATIFICATION OF SELECTION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PFRO">
              <w:r>
                <w:rPr>
                  <w:rStyle w:val="InternetLink"/>
                  <w:spacing w:val="4"/>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STPR">
              <w:r>
                <w:rPr>
                  <w:rStyle w:val="InternetLink"/>
                  <w:spacing w:val="4"/>
                </w:rPr>
                <w:t xml:space="preserve">STOCKHOLDER PROPOSALS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STPR">
              <w:r>
                <w:rPr>
                  <w:rStyle w:val="InternetLink"/>
                  <w:spacing w:val="4"/>
                </w:rPr>
                <w:t>84</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520" w:type="dxa"/>
            <w:tcBorders/>
            <w:tcMar>
              <w:bottom w:w="0" w:type="dxa"/>
            </w:tcMar>
            <w:vAlign w:val="center"/>
          </w:tcPr>
          <w:p>
            <w:pPr>
              <w:pStyle w:val="TableContents"/>
              <w:bidi w:val="0"/>
              <w:spacing w:before="0" w:after="0"/>
              <w:ind w:left="200" w:right="0" w:hanging="200"/>
              <w:jc w:val="left"/>
              <w:rPr/>
            </w:pPr>
            <w:hyperlink w:anchor="tAAHC">
              <w:r>
                <w:rPr>
                  <w:rStyle w:val="InternetLink"/>
                  <w:spacing w:val="4"/>
                </w:rPr>
                <w:t xml:space="preserve">ANNEX A REPAY HOLDINGS CORPORATION SECOND AMENDED AND RESTATED OMNIBUS INCENTIVE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8" w:type="dxa"/>
            <w:tcBorders/>
            <w:tcMar>
              <w:bottom w:w="0" w:type="dxa"/>
            </w:tcMar>
            <w:vAlign w:val="center"/>
          </w:tcPr>
          <w:p>
            <w:pPr>
              <w:pStyle w:val="TableContents"/>
              <w:bidi w:val="0"/>
              <w:spacing w:before="0" w:after="283"/>
              <w:jc w:val="right"/>
              <w:rPr/>
            </w:pPr>
            <w:hyperlink w:anchor="tAAHC">
              <w:r>
                <w:rPr>
                  <w:rStyle w:val="InternetLink"/>
                  <w:spacing w:val="4"/>
                </w:rPr>
                <w:t>A-1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7520" w:type="dxa"/>
            <w:tcBorders/>
            <w:shd w:fill="CCCCCC" w:val="clear"/>
            <w:tcMar>
              <w:bottom w:w="0" w:type="dxa"/>
            </w:tcMar>
            <w:vAlign w:val="center"/>
          </w:tcPr>
          <w:p>
            <w:pPr>
              <w:pStyle w:val="TableContents"/>
              <w:bidi w:val="0"/>
              <w:spacing w:before="0" w:after="283"/>
              <w:jc w:val="left"/>
              <w:rPr/>
            </w:pPr>
            <w:hyperlink w:anchor="tABR">
              <w:r>
                <w:rPr>
                  <w:rStyle w:val="InternetLink"/>
                  <w:spacing w:val="4"/>
                </w:rPr>
                <w:t xml:space="preserve">ANNEX B NON-GAAP RECONCILIATION </w:t>
              </w:r>
            </w:hyperlink>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468" w:type="dxa"/>
            <w:tcBorders/>
            <w:shd w:fill="CCCCCC" w:val="clear"/>
            <w:tcMar>
              <w:bottom w:w="0" w:type="dxa"/>
            </w:tcMar>
            <w:vAlign w:val="center"/>
          </w:tcPr>
          <w:p>
            <w:pPr>
              <w:pStyle w:val="TableContents"/>
              <w:bidi w:val="0"/>
              <w:spacing w:before="0" w:after="283"/>
              <w:jc w:val="right"/>
              <w:rPr/>
            </w:pPr>
            <w:hyperlink w:anchor="tABR">
              <w:r>
                <w:rPr>
                  <w:rStyle w:val="InternetLink"/>
                  <w:spacing w:val="4"/>
                </w:rPr>
                <w:t>B-1</w:t>
              </w:r>
            </w:hyperlink>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GEIN"/>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REPAY HOLDINGS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West Paces Ferry Road, Suite 200 </w:t>
        <w:br/>
        <w:t xml:space="preserve">Atlanta, Georgia 30305 </w:t>
        <w:br/>
        <w:t xml:space="preserve">(404) 504-7472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ANNUAL MEETING OF STOCKHOLDERS </w:t>
        <w:br/>
        <w:t>TO BE HELD ON THURSDAY, MAY 30,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furnishing this Proxy Statement on behalf of the Board of Directors of Repay Holdings Corporation, a Delaware corporation, for use at our 2024 Annual Meeting of Stockholders, or at any adjournment or postponement of the meeting (the “Annual Meeting”), for the purposes set forth below and in the accompanying Notice of Annual Meeting of Stockholders. The Annual Meeting will be held virtually, at 10:00 a.m., Eastern Time, on Thursday, May 30, 2024. The meeting can be accessed through the link provided using the password you receive following registration, where you will be able to listen to the meeting live, submit questions and vote online. If you plan to attend the virtual Annual Meeting, please see “General Information — Attendance at the Virtual Annual Meeting.” You will be required to register in advance at </w:t>
      </w:r>
      <w:r>
        <w:rPr>
          <w:rFonts w:ascii="Times New Roman;Times;serif" w:hAnsi="Times New Roman;Times;serif"/>
          <w:b w:val="false"/>
          <w:i/>
          <w:caps w:val="false"/>
          <w:smallCaps w:val="false"/>
          <w:color w:val="000000"/>
          <w:spacing w:val="4"/>
          <w:sz w:val="20"/>
        </w:rPr>
        <w:t>www.viewproxy.com/Repay/2024</w:t>
      </w:r>
      <w:r>
        <w:rPr>
          <w:rFonts w:ascii="Times New Roman;Times;serif" w:hAnsi="Times New Roman;Times;serif"/>
          <w:b w:val="false"/>
          <w:i w:val="false"/>
          <w:caps w:val="false"/>
          <w:smallCaps w:val="false"/>
          <w:color w:val="000000"/>
          <w:spacing w:val="4"/>
          <w:sz w:val="20"/>
        </w:rPr>
        <w:t xml:space="preserve"> prior to the deadline of May 28, 2024 at 11:59 p.m., Eastern Time in order to attend the meeting. There will be no physical location for stockholders to attend. Stockholders only may participate by logging in through the link provided using the password you receive following registration.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 Holdings Corporation was formed upon the closing (the “Closing”) of the merger (the “Business Combination”) of Hawk Parent Holdings LLC (“Hawk Parent”) with a subsidiary of Thunder Bridge Acquisition, Ltd. (“Thunder Bridge”), a special purpose acquisition company, on July 11, 2019. In connection with the Closing, Thunder Bridge changed its name to “Repay Holdings Corporation.”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headquartered in Atlanta, Georgia. Our legacy business (sometimes referred to as “REPAY LLC”) was founded in 2006 by current executives John Morris and Shaler Alias. As used in this Proxy Statement, unless otherwise noted or unless the context otherwise requires, the terms “we”, “us”, “Repay” and the “Company” and similar references refer to Repay Holdings Corporation and its consolidated subsidiaries. Throughout this document, unless otherwise noted or unless the context otherwise requires, “Thunder Bridge” refers to Thunder Bridge Acquisition. Ltd. prior to the consummation of the Business Combination. The term “Board” refers to our Board of Directors.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April 19, 2024, we will begin mailing to all stockholders entitled to vote at the Annual Meeting this Proxy Statement and the enclosed proxy materials. Although not part of this Proxy Statement, we will also mail with this Proxy Statement our Annual Report on Form 10-K for the fiscal year ended December 31, 2023. </w:t>
      </w:r>
    </w:p>
    <w:p>
      <w:pPr>
        <w:pStyle w:val="TextBody"/>
        <w:bidi w:val="0"/>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Stockholder Meeting to Be Held on May 30,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Proxy Statement and our Annual Report on Form 10-K are available for viewing and downloading at </w:t>
      </w:r>
      <w:r>
        <w:rPr>
          <w:rFonts w:ascii="Times New Roman;Times;serif" w:hAnsi="Times New Roman;Times;serif"/>
          <w:b/>
          <w:i/>
          <w:caps w:val="false"/>
          <w:smallCaps w:val="false"/>
          <w:color w:val="000000"/>
          <w:spacing w:val="-4"/>
          <w:sz w:val="20"/>
        </w:rPr>
        <w:t>www.viewproxy.com/Repay/2024</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two classes of common stock: Class A, which has one vote per share, and Class V, which has the number of votes equal to the number of limited liability company interests in Hawk Parent (“Post-Merger Repay Units”) (as adjusted pursuant to the Exchange Agreement to reflect the then-current conversion ratio of Post-Merger Repay Units into shares of Class A common stock, all as described in “Related Party Transactions-Hawk Parent Related Party Transactions”) held by such Class V holder at the time of such vote. The Class A common stock and Class V common stock generally vote together as a single class on all matters submitted to a vote of stockholders, except as otherwise required by applicable law or our organizational documents. There are no cumulative voting rights in connection with the election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ATVA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close of business on April 8, 2024, has been fixed as the record date for the determination of our stockholders entitled to notice of, and to vote at, the Annual Meeting. On the record date, we had outstanding 95,900,561 shares of Class A common stock (including 4,405,499 shares of unvested restricted stock that have voting rights) and 19 shares of Class V common stock, representing 5,844,095 votes on behalf of Class V common stockholders. A summary of the voting shares as of the record date is as follows: </w:t>
      </w:r>
    </w:p>
    <w:tbl>
      <w:tblPr>
        <w:tblW w:w="7446" w:type="dxa"/>
        <w:jc w:val="left"/>
        <w:tblInd w:w="1393" w:type="dxa"/>
        <w:tblLayout w:type="fixed"/>
        <w:tblCellMar>
          <w:top w:w="0" w:type="dxa"/>
          <w:left w:w="0" w:type="dxa"/>
          <w:bottom w:w="28" w:type="dxa"/>
          <w:right w:w="0" w:type="dxa"/>
        </w:tblCellMar>
      </w:tblPr>
      <w:tblGrid>
        <w:gridCol w:w="124"/>
        <w:gridCol w:w="4955"/>
        <w:gridCol w:w="109"/>
        <w:gridCol w:w="109"/>
        <w:gridCol w:w="133"/>
        <w:gridCol w:w="133"/>
        <w:gridCol w:w="1596"/>
        <w:gridCol w:w="133"/>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4955"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95"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As of April 8, 2024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955" w:type="dxa"/>
            <w:tcBorders/>
            <w:shd w:fill="CCCCCC" w:val="clear"/>
            <w:tcMar>
              <w:bottom w:w="0" w:type="dxa"/>
            </w:tcMar>
            <w:vAlign w:val="center"/>
          </w:tcPr>
          <w:p>
            <w:pPr>
              <w:pStyle w:val="TableContents"/>
              <w:bidi w:val="0"/>
              <w:spacing w:before="0" w:after="283"/>
              <w:jc w:val="left"/>
              <w:rPr>
                <w:spacing w:val="4"/>
              </w:rPr>
            </w:pPr>
            <w:r>
              <w:rPr>
                <w:spacing w:val="4"/>
              </w:rPr>
              <w:t xml:space="preserve">Class A common stock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596" w:type="dxa"/>
            <w:tcBorders/>
            <w:shd w:fill="CCCCCC" w:val="clear"/>
            <w:tcMar>
              <w:bottom w:w="0" w:type="dxa"/>
            </w:tcMar>
            <w:vAlign w:val="center"/>
          </w:tcPr>
          <w:p>
            <w:pPr>
              <w:pStyle w:val="TableContents"/>
              <w:bidi w:val="0"/>
              <w:spacing w:before="0" w:after="283"/>
              <w:jc w:val="right"/>
              <w:rPr/>
            </w:pPr>
            <w:r>
              <w:rPr/>
              <w:t>95,900,561</w:t>
            </w:r>
          </w:p>
        </w:tc>
        <w:tc>
          <w:tcPr>
            <w:tcW w:w="133"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55" w:type="dxa"/>
            <w:tcBorders/>
            <w:tcMar>
              <w:bottom w:w="0" w:type="dxa"/>
            </w:tcMar>
            <w:vAlign w:val="center"/>
          </w:tcPr>
          <w:p>
            <w:pPr>
              <w:pStyle w:val="TableContents"/>
              <w:bidi w:val="0"/>
              <w:spacing w:before="0" w:after="283"/>
              <w:jc w:val="left"/>
              <w:rPr>
                <w:spacing w:val="4"/>
              </w:rPr>
            </w:pPr>
            <w:r>
              <w:rPr>
                <w:spacing w:val="4"/>
              </w:rPr>
              <w:t xml:space="preserve">Class V common stock/Post-Merger Repay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596" w:type="dxa"/>
            <w:tcBorders/>
            <w:tcMar>
              <w:bottom w:w="0" w:type="dxa"/>
            </w:tcMar>
            <w:vAlign w:val="center"/>
          </w:tcPr>
          <w:p>
            <w:pPr>
              <w:pStyle w:val="TableContents"/>
              <w:bidi w:val="0"/>
              <w:spacing w:before="0" w:after="283"/>
              <w:jc w:val="right"/>
              <w:rPr/>
            </w:pPr>
            <w:r>
              <w:rPr/>
              <w:t>5,844,095</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955" w:type="dxa"/>
            <w:tcBorders/>
            <w:shd w:fill="CCCCCC" w:val="clear"/>
            <w:tcMar>
              <w:bottom w:w="0" w:type="dxa"/>
            </w:tcMar>
            <w:vAlign w:val="center"/>
          </w:tcPr>
          <w:p>
            <w:pPr>
              <w:pStyle w:val="TableContents"/>
              <w:bidi w:val="0"/>
              <w:spacing w:before="0" w:after="283"/>
              <w:jc w:val="left"/>
              <w:rPr/>
            </w:pPr>
            <w:r>
              <w:rPr>
                <w:spacing w:val="-4"/>
              </w:rPr>
              <w:t>Total Common Shares Outstanding (Voting Power)</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596" w:type="dxa"/>
            <w:tcBorders/>
            <w:shd w:fill="CCCCCC" w:val="clear"/>
            <w:tcMar>
              <w:bottom w:w="0" w:type="dxa"/>
            </w:tcMar>
            <w:vAlign w:val="center"/>
          </w:tcPr>
          <w:p>
            <w:pPr>
              <w:pStyle w:val="TableContents"/>
              <w:bidi w:val="0"/>
              <w:spacing w:before="0" w:after="283"/>
              <w:jc w:val="right"/>
              <w:rPr/>
            </w:pPr>
            <w:r>
              <w:rPr/>
              <w:t>101,744,656</w:t>
            </w:r>
          </w:p>
        </w:tc>
        <w:tc>
          <w:tcPr>
            <w:tcW w:w="133"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proposal to be considered at the Annual Meeting, the holders of a majority of the number of shares entitled to vote on such matter at the meeting, present in attendance or by proxy, will constitute a quorum. Both abstentions and “broker non-votes” will be treated as present for purposes of determining a quorum. A “broker non-vote,” however, does not count as a vote in favor of or against a particular proposal for which the broker has no discretionary voting authority. “Broker non-votes” are votes that brokers holding shares of record for their customers (i.e., in “street name”) are not permitted to cast under applicable stock market regulations because the brokers have not received instructions (or have received incomplete instructions) from their customers as to certain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Distinction Between Holding Shares as a Stockholder of Record and as a Beneficial Owner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stockholders hold their shares through a broker, trustee, or other nominee rather than directly in their own name. As summarized below, there are some distinctions between shares held of record and those shares owned beneficially.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Continental Stock Transfer &amp; Trust Company, or if you hold a share of Class V common stock, then you are considered, with respect to those shares, the “stockholder of record.” As the stockholder of record, you have the right to grant your voting proxy directly to us or to a third party, or to vote your shares at the Annual Meeting, provided you have properly pre-registered for the meeting. If you hold unvested shares of restricted stock granted under our equity incentive plan, you will be deemed to be a stockholder of record of those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w:t>
      </w:r>
      <w:r>
        <w:rPr>
          <w:rFonts w:ascii="Times New Roman;Times;serif" w:hAnsi="Times New Roman;Times;serif"/>
          <w:b w:val="false"/>
          <w:i w:val="false"/>
          <w:caps w:val="false"/>
          <w:smallCaps w:val="false"/>
          <w:color w:val="000000"/>
          <w:spacing w:val="4"/>
          <w:sz w:val="20"/>
        </w:rPr>
        <w:t xml:space="preserve">.   If your shares are held in a brokerage account, by a trustee or by another nominee, then you are considered the “beneficial owner” of those shares. As the beneficial owner of those shares, you have the right to direct your broker, trustee, or nominee how to vote and you also are invited to attend the Annual Meeting. In order to attend the Annual Meeting, you will need to provide proof of ownership, which may be uploaded during the registration process or emailed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at the time you register. Because a beneficial owner is not the stockholder of record, you may not vote these shares during attendance at the Annual Meeting unless you obtain a “legal proxy” from the broker, trustee or nominee that holds your shares, giving you the right to vote the shares at the Annual Meeting. You will then need to upload the legal proxy during the registration process or email the legal proxy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at the time you register to attend the Annual Meeting in order to receive the virtual control number which will allow you to vote your shares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not a stockholder of record, please understand that we do not know that you are a stockholder or how many shares you own.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the Virtual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be conducted completely online via the internet. Stockholders may attend and participate in the meeting by clicking on the link provided in your invite which will be delivered to you via email following registration. In order to participate in the Annual Meeting, you must register in advance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w:t>
      </w:r>
      <w:r>
        <w:rPr>
          <w:rFonts w:ascii="Times New Roman;Times;serif" w:hAnsi="Times New Roman;Times;serif"/>
          <w:b w:val="false"/>
          <w:i/>
          <w:caps w:val="false"/>
          <w:smallCaps w:val="false"/>
          <w:color w:val="000000"/>
          <w:spacing w:val="4"/>
          <w:sz w:val="20"/>
        </w:rPr>
        <w:t>www.viewproxy.com/Repay/2024</w:t>
      </w:r>
      <w:r>
        <w:rPr>
          <w:rFonts w:ascii="Times New Roman;Times;serif" w:hAnsi="Times New Roman;Times;serif"/>
          <w:b w:val="false"/>
          <w:i w:val="false"/>
          <w:caps w:val="false"/>
          <w:smallCaps w:val="false"/>
          <w:color w:val="000000"/>
          <w:spacing w:val="4"/>
          <w:sz w:val="20"/>
        </w:rPr>
        <w:t xml:space="preserve"> by May 28, 2024 at 11:59 p.m., Eastern Time. Upon completing your registration, you will receive further instructions via email, including your unique link and password that will allow you access to the meeting and to submit questions during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access the Annual Meeting, you will need the event password that will be provided after registration. If you are a holder of record and you have misplaced your virtual control number or event password, please call Alliance Advisors at 1-866-612-8937 or e-mail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access the Annual Meeting before the start time of 10:00 a.m., Eastern Time, on May 30, 2024. Please allow ample time for online check-in, which will begin at 9:30 a.m., Eastern Time, on May 30,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participate in the virtual Annual Meeting by way of the website above or the link provided following registration will be considered to have attended the meeting “in person,” including for purposes of determining a quorum and counting votes.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conducting our Annual Meeting completely online via the internet, we eliminate many of the costs associated with a physical meeting. In addition, we believe that a virtual meeting will provide greater access to those stockholders who want to attend and improve our ability to communicate more effectively with our stockholders during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as of our record date who attend and participate in our virtual Annual Meeting will have an opportunity to submit questions live via the internet during a designated portion of the meeting. These stockholders may also submit a question in advance of the Annual Meeting during the registration process, by email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or by telephone at 1-866-612-8937. Only questions that are relevant to the matters presented at the Annual Meeting will be addressed during the Annual Meeting as deemed appropriate. Immediately following the Annual Meeting, we will hold a general Q&amp;A regarding our business and our answers to appropriate questions received and not answered during the meeting will be made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have any questions about the Annual Meeting or how to submit or revoke your proxy, or to request an invitation to the Annual Meeting, contact our Corporate Secretary at the Company’s address set forth in the 2024 Notice of Annual Meeting or by calling us at 404-504-7472. If you encounter any difficulties accessing the Annual Meeting during the check-in or meeting time, please contact the technical support at Alliance Advisors at 1-866-612-8937 or e-mail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Methods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voting are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w:t>
      </w:r>
      <w:r>
        <w:rPr>
          <w:rFonts w:ascii="Times New Roman;Times;serif" w:hAnsi="Times New Roman;Times;serif"/>
          <w:b w:val="false"/>
          <w:i w:val="false"/>
          <w:caps w:val="false"/>
          <w:smallCaps w:val="false"/>
          <w:color w:val="000000"/>
          <w:spacing w:val="4"/>
          <w:sz w:val="20"/>
        </w:rPr>
        <w:t xml:space="preserve">.   If you are a stockholder of record, you may vote during attendance at the virtual Annual Meeting, vote by proxy using a proxy card, vote by proxy over the telephone, or vote by proxy via the internet. Whether or not you plan to attend the virtual Annual Meeting, we urge you to vote by proxy to ensure your vote is counted. You may still attend the virtual Annual Meeting and vote during the Annual Meeting, even if you have already voted by proxy. The vote you cast during attendance will supersede any previous votes that you may have submitted.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By Mail</w:t>
      </w:r>
      <w:r>
        <w:rPr>
          <w:rFonts w:ascii="Times New Roman;Times;serif" w:hAnsi="Times New Roman;Times;serif"/>
          <w:b w:val="false"/>
          <w:i w:val="false"/>
          <w:caps w:val="false"/>
          <w:smallCaps w:val="false"/>
          <w:color w:val="000000"/>
          <w:spacing w:val="4"/>
          <w:sz w:val="20"/>
        </w:rPr>
        <w:t xml:space="preserve">: To vote using the proxy card, simply complete, sign and date the proxy card and return it promptly in the envelope provided. If you return your signed proxy card to us before the Annual Meeting, we will vote your shares as you direct.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Via the Internet</w:t>
      </w:r>
      <w:r>
        <w:rPr>
          <w:rFonts w:ascii="Times New Roman;Times;serif" w:hAnsi="Times New Roman;Times;serif"/>
          <w:b w:val="false"/>
          <w:i w:val="false"/>
          <w:caps w:val="false"/>
          <w:smallCaps w:val="false"/>
          <w:color w:val="000000"/>
          <w:spacing w:val="4"/>
          <w:sz w:val="20"/>
        </w:rPr>
        <w:t xml:space="preserve">: To vote through the internet, go to </w:t>
      </w:r>
      <w:r>
        <w:rPr>
          <w:rFonts w:ascii="Times New Roman;Times;serif" w:hAnsi="Times New Roman;Times;serif"/>
          <w:b/>
          <w:i/>
          <w:caps w:val="false"/>
          <w:smallCaps w:val="false"/>
          <w:color w:val="000000"/>
          <w:spacing w:val="-4"/>
          <w:sz w:val="20"/>
        </w:rPr>
        <w:t>www.AALvote.com/RPAY</w:t>
      </w:r>
      <w:r>
        <w:rPr>
          <w:rFonts w:ascii="Times New Roman;Times;serif" w:hAnsi="Times New Roman;Times;serif"/>
          <w:b w:val="false"/>
          <w:i w:val="false"/>
          <w:caps w:val="false"/>
          <w:smallCaps w:val="false"/>
          <w:color w:val="000000"/>
          <w:spacing w:val="4"/>
          <w:sz w:val="20"/>
        </w:rPr>
        <w:t xml:space="preserve"> and follow the onscreen instructions. To be counted, your internet vote must be received by 11:59 p.m., Eastern Time, on May 29, 2024.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By Telephone</w:t>
      </w:r>
      <w:r>
        <w:rPr>
          <w:rFonts w:ascii="Times New Roman;Times;serif" w:hAnsi="Times New Roman;Times;serif"/>
          <w:b w:val="false"/>
          <w:i w:val="false"/>
          <w:caps w:val="false"/>
          <w:smallCaps w:val="false"/>
          <w:color w:val="000000"/>
          <w:spacing w:val="4"/>
          <w:sz w:val="20"/>
        </w:rPr>
        <w:t xml:space="preserve">: To vote by telephone, dial toll-free </w:t>
      </w:r>
      <w:r>
        <w:rPr>
          <w:rFonts w:ascii="Times New Roman;Times;serif" w:hAnsi="Times New Roman;Times;serif"/>
          <w:b/>
          <w:i/>
          <w:caps w:val="false"/>
          <w:smallCaps w:val="false"/>
          <w:color w:val="000000"/>
          <w:spacing w:val="-4"/>
          <w:sz w:val="20"/>
        </w:rPr>
        <w:t>1-866-804-9616</w:t>
      </w:r>
      <w:r>
        <w:rPr>
          <w:rFonts w:ascii="Times New Roman;Times;serif" w:hAnsi="Times New Roman;Times;serif"/>
          <w:b w:val="false"/>
          <w:i w:val="false"/>
          <w:caps w:val="false"/>
          <w:smallCaps w:val="false"/>
          <w:color w:val="000000"/>
          <w:spacing w:val="4"/>
          <w:sz w:val="20"/>
        </w:rPr>
        <w:t xml:space="preserve"> using a touch-tone phone and follow the recorded instructions. You will be asked to provide the company number and control number from your proxy card or voting instruction form. To be counted, your telephone vote must be received by 11:59 p.m., Eastern Time, on May 29, 2024.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During Attendance at the Annual Meeting</w:t>
      </w:r>
      <w:r>
        <w:rPr>
          <w:rFonts w:ascii="Times New Roman;Times;serif" w:hAnsi="Times New Roman;Times;serif"/>
          <w:b w:val="false"/>
          <w:i w:val="false"/>
          <w:caps w:val="false"/>
          <w:smallCaps w:val="false"/>
          <w:color w:val="000000"/>
          <w:spacing w:val="4"/>
          <w:sz w:val="20"/>
        </w:rPr>
        <w:t xml:space="preserve">: To vote during attendance at the Annual Meeting, attend and vote at the virtual Annual Meeting through the link provided following registration (you will need the virtual control number included on your proxy card to vote during the meeting). </w:t>
      </w:r>
      <w:r>
        <mc:AlternateContent>
          <mc:Choice Requires="wps">
            <w:drawing>
              <wp:anchor behindDoc="0" distT="0" distB="0" distL="254000" distR="0" simplePos="0" locked="0" layoutInCell="1" allowOverlap="1" relativeHeight="54">
                <wp:simplePos x="0" y="0"/>
                <wp:positionH relativeFrom="column">
                  <wp:align>left</wp:align>
                </wp:positionH>
                <wp:positionV relativeFrom="line">
                  <wp:posOffset>635</wp:posOffset>
                </wp:positionV>
                <wp:extent cx="127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w:t>
      </w:r>
      <w:r>
        <w:rPr>
          <w:rFonts w:ascii="Times New Roman;Times;serif" w:hAnsi="Times New Roman;Times;serif"/>
          <w:b w:val="false"/>
          <w:i w:val="false"/>
          <w:caps w:val="false"/>
          <w:smallCaps w:val="false"/>
          <w:color w:val="000000"/>
          <w:spacing w:val="4"/>
          <w:sz w:val="20"/>
        </w:rPr>
        <w:t xml:space="preserve">.   If you are a beneficial owner of shares registered in the name of your broker, trustee, or other nominee, you should have received a notice containing voting instructions from that organization rather than from us. Simply follow the voting instructions in that notice to ensure that your vote is counted. In order to attend the Annual Meeting, you will need to provide proof of ownership, which may be uploaded during the registration process or emailed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at the time you register. Because a beneficial owner is not the stockholder of record, you may not vote these shares during attendance at the Annual Meeting unless you obtain a “legal proxy” from the broker, trustee or nominee that holds your shares, giving you the right to vote the shares at the Annual Meeting. You will then need to upload the legal proxy during the registration process or email the legal proxy to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at the time you register to attend the Annual Meeting in order to receive the virtual control number which will allow you to vote your shares at the Annual Meeting. If you have properly submitted a legal proxy, you may vote at the Annual Meeting while the polls are open (you will need the virtual control number assigned to you in your registration confirmation email to vote during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stockholders will consider and act upon (1) the election of nine directors for terms expiring at the 2025 Annual Meeting of Stockholders, (2) the approval, on an advisory basis, of the compensation of our named executive officers (as defined in this Proxy Statement), (3) the approval and adoption of the Second Amended and Restated Plan; (4) the ratification of the appointment of Grant Thornton, LLP as our independent registered public accounting firm for the fiscal year ending December 31, 2024; and (5) such other business as may properly come before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Proposal One (Election of Directors), votes may be cast for the nominees or may be withheld. Each director nominee was recommended by the Nominating and Corporate Governance Committee of the Board, and all nominees are current directors. The election of directors requires a plurality of the votes cast, and the nine nominees receiving the greatest number of votes will be elected. Votes that are withheld and broker non-votes are not considered “votes cast” and therefore will have no effect on the outcome of Proposal One.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Proposal Two (Say-on-Pay Advisory Vote), the affirmative vote of a majority of the votes cast is required to approve, on an advisory basis, the compensation of our named executive officers (as defined in this Proxy Statement). Abstentions and broker non-votes, if any, are not treated as votes cast, and therefore will have no effect on the outcome of the vote on this proposal. Because your vote is advisory, it will not be binding on the Company, the Board or the compensation committee of the Board (the “Compensation Committee”). However, the Board and the Compensation Committee will consider the outcome of the vote when making future compensation decisions for our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Proposal Three (Approval of the Second Amended and Restated Plan), the affirmative vote of a majority of the votes cast is required to approve and adopt the Second Amended and Restated Plan. Abstentions and broker non-votes, if any, are not treated as votes cast, and therefore will have no effect on the outcome of the vote on this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Proposal Four (Auditor Ratification), the affirmative vote of a majority of the votes cast is required to ratify the selection of Grant Thornton LLP (“Grant Thornton”) as our independent registered public accounting firm. Abstentions will have no effect on the results of this vote. Brokerage firms have authority to vote shares held in street name on this proposal without instructions from beneficial owners. As a result, we do not expect there will be any broker non-votes on this matter. We are not required to obtain the approval of our stockholders to select our independent registered public accounting firm. However, if our stockholders do not ratify the selection of Grant Thornton as our independent registered public accounting firm for the fiscal year ending December 31, 2024, the audit committee of the Board (the “Audit Committee”) will reconsider its selection. Even if the appointment is ratified, the Audit Committee may, in its discretion, appoint a different independent auditor at any time during the year if the Audit Committee determines that such change would be in the best interest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Voting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provide specific voting instructions, then your shares will be voted as instructed.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shares as the stockholder of record and submit a proxy without giving specific voting instructions, then your shares will be voted in accordance with the recommendations of our Board. Our Board recommends voting “</w:t>
      </w:r>
      <w:r>
        <w:rPr>
          <w:rFonts w:ascii="Times New Roman;Times;serif" w:hAnsi="Times New Roman;Times;serif"/>
          <w:b w:val="false"/>
          <w:i w:val="false"/>
          <w:caps w:val="false"/>
          <w:smallCaps w:val="false"/>
          <w:color w:val="000000"/>
          <w:spacing w:val="4"/>
          <w:sz w:val="20"/>
          <w:u w:val="single"/>
        </w:rPr>
        <w:t>FOR</w:t>
      </w:r>
      <w:r>
        <w:rPr>
          <w:rFonts w:ascii="Times New Roman;Times;serif" w:hAnsi="Times New Roman;Times;serif"/>
          <w:b w:val="false"/>
          <w:i w:val="false"/>
          <w:caps w:val="false"/>
          <w:smallCaps w:val="false"/>
          <w:color w:val="000000"/>
          <w:spacing w:val="4"/>
          <w:sz w:val="20"/>
        </w:rPr>
        <w:t>” all nominees listed in Proposal One, “</w:t>
      </w:r>
      <w:r>
        <w:rPr>
          <w:rFonts w:ascii="Times New Roman;Times;serif" w:hAnsi="Times New Roman;Times;serif"/>
          <w:b w:val="false"/>
          <w:i w:val="false"/>
          <w:caps w:val="false"/>
          <w:smallCaps w:val="false"/>
          <w:color w:val="000000"/>
          <w:spacing w:val="4"/>
          <w:sz w:val="20"/>
          <w:u w:val="single"/>
        </w:rPr>
        <w:t>FOR</w:t>
      </w:r>
      <w:r>
        <w:rPr>
          <w:rFonts w:ascii="Times New Roman;Times;serif" w:hAnsi="Times New Roman;Times;serif"/>
          <w:b w:val="false"/>
          <w:i w:val="false"/>
          <w:caps w:val="false"/>
          <w:smallCaps w:val="false"/>
          <w:color w:val="000000"/>
          <w:spacing w:val="4"/>
          <w:sz w:val="20"/>
        </w:rPr>
        <w:t>” the approval of the compensation of our named executive officers in Proposal Two, “</w:t>
      </w:r>
      <w:r>
        <w:rPr>
          <w:rFonts w:ascii="Times New Roman;Times;serif" w:hAnsi="Times New Roman;Times;serif"/>
          <w:b w:val="false"/>
          <w:i w:val="false"/>
          <w:caps w:val="false"/>
          <w:smallCaps w:val="false"/>
          <w:color w:val="000000"/>
          <w:spacing w:val="4"/>
          <w:sz w:val="20"/>
          <w:u w:val="single"/>
        </w:rPr>
        <w:t>FOR</w:t>
      </w:r>
      <w:r>
        <w:rPr>
          <w:rFonts w:ascii="Times New Roman;Times;serif" w:hAnsi="Times New Roman;Times;serif"/>
          <w:b w:val="false"/>
          <w:i w:val="false"/>
          <w:caps w:val="false"/>
          <w:smallCaps w:val="false"/>
          <w:color w:val="000000"/>
          <w:spacing w:val="4"/>
          <w:sz w:val="20"/>
        </w:rPr>
        <w:t>” the approval of the Second Amended and Restated Plan in Proposal Three, “</w:t>
      </w:r>
      <w:r>
        <w:rPr>
          <w:rFonts w:ascii="Times New Roman;Times;serif" w:hAnsi="Times New Roman;Times;serif"/>
          <w:b w:val="false"/>
          <w:i w:val="false"/>
          <w:caps w:val="false"/>
          <w:smallCaps w:val="false"/>
          <w:color w:val="000000"/>
          <w:spacing w:val="4"/>
          <w:sz w:val="20"/>
          <w:u w:val="single"/>
        </w:rPr>
        <w:t>FOR</w:t>
      </w:r>
      <w:r>
        <w:rPr>
          <w:rFonts w:ascii="Times New Roman;Times;serif" w:hAnsi="Times New Roman;Times;serif"/>
          <w:b w:val="false"/>
          <w:i w:val="false"/>
          <w:caps w:val="false"/>
          <w:smallCaps w:val="false"/>
          <w:color w:val="000000"/>
          <w:spacing w:val="4"/>
          <w:sz w:val="20"/>
        </w:rPr>
        <w:t xml:space="preserve">” the ratification of Grant Thornton as our independent registered public accounting firm for the year ending December 31, 2024 in Proposal Four and in accordance with the discretion of the named proxies on other matters brought before the Annual Meeting.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have granted to your broker, trustee, or other nominee discretionary voting authority over your account. Your broker, trustee, or other nominee may be able to vote your shares depending on the terms of the agreement you have with your broker, trustee, or other nominee.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persons identified as having the authority to vote the proxies also will have discretionary authority to vote, to the extent permitted by applicable law, on such other business as may properly come before the Annual Meeting and any postponement or adjournment. The Board is not aware of any other matters that are likely to be brought before the Annual Meeting. If any other matter is properly presented for action at the Annual Meeting, including a proposal to adjourn or postpone the Annual Meeting to permit us to solicit additional proxies in favor of any proposal, the persons identified as having the authority to vote the proxies will vote on such matter in their own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of record who has given a proxy may revoke it at any time prior to its exercise at the Annual Meeting by (i) giving written notice of revocation to our Corporate Secretary, (ii) properly submitting a later proxy via the internet or by telephone, (iii) properly submitting a duly executed proxy bearing a later date, or (iv) voting your shares at the virtual Annual Meeting.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beneficial owner of shares held through a broker, trustee, or other nominee, then you must follow the specific instructions provided to you by your broker, trustee, or other nominee to change or revoke any instructions you have already provided to your broker, trustee, or other nominee.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at the Annual Meeting, in and of itself, will not constitute a revocation of a proxy.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Costs of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 will bear the expense of preparing this Proxy Statement and soliciting the proxies it is seeking. In addition to the use of the mail, proxies may be solicited by our officers, directors and employees, in person or by telephone, e-mail or facsimile transmission. Our officers, directors and employees will receive no additional compensation for any such solicitations. We also will request brokerage firms, banks, nominees, custodians and fiduciaries to forward proxy materials to the beneficial owners of the underlying shares as of the record date and will reimburse the cost of forwarding the proxy materials in accordance with customary practice. Your cooperation in promptly voting by proxy will help to avoid additional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the rules adopted by the SEC, only one copy of this Proxy Statement is being delivered to multiple stockholders residing at the same address unless the Company has received contrary instructions from one or more of the stockholders. This delivery method is referred to as “householding” and can result in significant cost savings. If you are a stockholder who resides in the same household with another stockholder and you wish to receive a separate copy of the proxy materials for each account, please contact Alliance Advisors, at 1-877-777-2857. You may also e-mail </w:t>
      </w:r>
      <w:r>
        <w:rPr>
          <w:rFonts w:ascii="Times New Roman;Times;serif" w:hAnsi="Times New Roman;Times;serif"/>
          <w:b w:val="false"/>
          <w:i/>
          <w:caps w:val="false"/>
          <w:smallCaps w:val="false"/>
          <w:color w:val="000000"/>
          <w:spacing w:val="4"/>
          <w:sz w:val="20"/>
        </w:rPr>
        <w:t>requests@viewproxy.com</w:t>
      </w:r>
      <w:r>
        <w:rPr>
          <w:rFonts w:ascii="Times New Roman;Times;serif" w:hAnsi="Times New Roman;Times;serif"/>
          <w:b w:val="false"/>
          <w:i w:val="false"/>
          <w:caps w:val="false"/>
          <w:smallCaps w:val="false"/>
          <w:color w:val="000000"/>
          <w:spacing w:val="4"/>
          <w:sz w:val="20"/>
        </w:rPr>
        <w:t xml:space="preserve"> or mail your request to Alliance Advisors, 200 Broadacres Drive, 3rd Floor, Bloomfield, NJ 07003. Any stockholder making such request will promptly receive a separate copy of the proxy materials, and separate copies of all future proxy materials. Any stockholder currently sharing an address with another stockholder, but nonetheless receiving separate copies of the materials, may request delivery of a single copy in the future by contacting Alliance Advisors by telephone, e-mail or mail as indicated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OOD"/>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PROPOSAL ONE</w:t>
      </w:r>
      <w:r>
        <w:rPr>
          <w:rFonts w:ascii="Times New Roman;Times;serif" w:hAnsi="Times New Roman;Times;serif"/>
          <w:b/>
          <w:i w:val="false"/>
          <w:caps w:val="false"/>
          <w:smallCaps w:val="false"/>
          <w:color w:val="000000"/>
          <w:spacing w:val="-4"/>
          <w:sz w:val="20"/>
        </w:rPr>
        <w:t xml:space="preserve">: </w:t>
        <w:b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currently fixed at nine members. Each director’s term expires at the 2024 Annual Meeting. Each director will be elected at the 2024 Annual Meeting to serve for a term of one year, or until his or her successor is elected and qualified.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 reason to believe that any of the nominees for director will not be available to stand for election as director. However, if some unexpected occurrence should require the substitution by the Board of some other person or persons for any one or more of the nominees, then the proxies may be voted in accordance with the discretion of the named proxies “FOR” such substitute nominees.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age as of the record date, principal occupation for the last five years, selected biographical information and period of service as a director of Repay of the nominees for election as directors are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Election for Terms Expiring at the 2025 Annual Meeting of Stockholders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2509"/>
        <w:gridCol w:w="109"/>
        <w:gridCol w:w="109"/>
        <w:gridCol w:w="5806"/>
        <w:gridCol w:w="155"/>
      </w:tblGrid>
      <w:tr>
        <w:trPr/>
        <w:tc>
          <w:tcPr>
            <w:tcW w:w="124" w:type="dxa"/>
            <w:tcBorders/>
            <w:vAlign w:val="center"/>
          </w:tcPr>
          <w:p>
            <w:pPr>
              <w:pStyle w:val="TableContents"/>
              <w:bidi w:val="0"/>
              <w:spacing w:before="0" w:after="283"/>
              <w:jc w:val="left"/>
              <w:rPr/>
            </w:pPr>
            <w:r>
              <w:rPr/>
              <w:t>​</w:t>
            </w:r>
          </w:p>
        </w:tc>
        <w:tc>
          <w:tcPr>
            <w:tcW w:w="2509" w:type="dxa"/>
            <w:tcBorders/>
            <w:vAlign w:val="center"/>
          </w:tcPr>
          <w:p>
            <w:pPr>
              <w:pStyle w:val="TableContents"/>
              <w:bidi w:val="0"/>
              <w:spacing w:before="0" w:after="0"/>
              <w:jc w:val="center"/>
              <w:rPr/>
            </w:pPr>
            <w:r>
              <w:rPr/>
              <w:drawing>
                <wp:inline distT="0" distB="0" distL="0" distR="0">
                  <wp:extent cx="1457325" cy="18288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1457325" cy="1828800"/>
                          </a:xfrm>
                          <a:prstGeom prst="rect">
                            <a:avLst/>
                          </a:prstGeom>
                        </pic:spPr>
                      </pic:pic>
                    </a:graphicData>
                  </a:graphic>
                </wp:inline>
              </w:drawing>
            </w:r>
            <w:r>
              <w:rPr/>
              <w:t xml:space="preserve"> </w:t>
            </w:r>
          </w:p>
          <w:p>
            <w:pPr>
              <w:pStyle w:val="TableContents"/>
              <w:bidi w:val="0"/>
              <w:spacing w:lineRule="atLeast" w:line="240" w:before="137" w:after="283"/>
              <w:jc w:val="left"/>
              <w:rPr>
                <w:b/>
                <w:spacing w:val="-4"/>
              </w:rPr>
            </w:pPr>
            <w:r>
              <w:rPr>
                <w:b/>
                <w:spacing w:val="-4"/>
              </w:rPr>
              <w:t xml:space="preserve">Shaler Alias, President and Co-Founder, Director </w:t>
            </w:r>
          </w:p>
          <w:p>
            <w:pPr>
              <w:pStyle w:val="TableContents"/>
              <w:bidi w:val="0"/>
              <w:spacing w:lineRule="atLeast" w:line="240" w:before="120" w:after="283"/>
              <w:jc w:val="left"/>
              <w:rPr>
                <w:b/>
              </w:rPr>
            </w:pPr>
            <w:r>
              <w:rPr>
                <w:b/>
                <w:spacing w:val="-4"/>
              </w:rPr>
              <w:t>Age:</w:t>
            </w:r>
            <w:r>
              <w:rPr>
                <w:b/>
                <w:spacing w:val="4"/>
              </w:rPr>
              <w:t xml:space="preserve"> </w:t>
            </w:r>
            <w:r>
              <w:rPr>
                <w:b w:val="false"/>
                <w:spacing w:val="4"/>
              </w:rPr>
              <w:t>44</w:t>
            </w:r>
            <w:r>
              <w:rPr>
                <w:b/>
              </w:rPr>
              <w:t xml:space="preserve"> </w:t>
            </w:r>
          </w:p>
          <w:p>
            <w:pPr>
              <w:pStyle w:val="TableContents"/>
              <w:bidi w:val="0"/>
              <w:spacing w:lineRule="atLeast" w:line="240" w:before="120" w:after="283"/>
              <w:jc w:val="left"/>
              <w:rPr>
                <w:b/>
              </w:rPr>
            </w:pPr>
            <w:r>
              <w:rPr>
                <w:b/>
                <w:spacing w:val="-4"/>
              </w:rPr>
              <w:t>Committee Memberships:</w:t>
            </w:r>
            <w:r>
              <w:rPr>
                <w:b/>
              </w:rPr>
              <w:t xml:space="preserve"> </w:t>
            </w:r>
          </w:p>
          <w:p>
            <w:pPr>
              <w:pStyle w:val="TableContents"/>
              <w:bidi w:val="0"/>
              <w:spacing w:lineRule="atLeast" w:line="240" w:before="80" w:after="283"/>
              <w:jc w:val="left"/>
              <w:rPr>
                <w:spacing w:val="4"/>
              </w:rPr>
            </w:pPr>
            <w:r>
              <w:rPr>
                <w:spacing w:val="4"/>
              </w:rPr>
              <w:t xml:space="preserve">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06" w:type="dxa"/>
            <w:tcBorders/>
            <w:vAlign w:val="center"/>
          </w:tcPr>
          <w:p>
            <w:pPr>
              <w:pStyle w:val="TableContents"/>
              <w:bidi w:val="0"/>
              <w:spacing w:lineRule="atLeast" w:line="240" w:before="0" w:after="0"/>
              <w:jc w:val="left"/>
              <w:rPr/>
            </w:pPr>
            <w:r>
              <w:rPr>
                <w:spacing w:val="4"/>
              </w:rPr>
              <w:t>Mr. Alias has served as our President and a director since the Business Combination. He co-founded REPAY LLC in 2006 and has served as its President since 2008. From its formation in September 2016 through the Business Combination, Mr. Alias served as a member of the board of directors of Hawk Parent. Mr. Alias has also been a member of the board of directors of Repay Holdings, LLC since its formation in September 2013. Mr. Alias served as Vice President of Sales of REPAY LLC from 2006 to 2008. Prior to 2006, Mr. Alias co-founded and served as Director of Sales and Marketing for Capital Recovery Solutions, a collection agency that served community banks and consumer finance lenders. We believe that Mr. Alias is well-qualified to serve as a member of our Board because of the experience that he brings as a co-founder as well as his knowledge of the payments industry.</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2487"/>
        <w:gridCol w:w="109"/>
        <w:gridCol w:w="109"/>
        <w:gridCol w:w="5828"/>
        <w:gridCol w:w="155"/>
      </w:tblGrid>
      <w:tr>
        <w:trPr/>
        <w:tc>
          <w:tcPr>
            <w:tcW w:w="124" w:type="dxa"/>
            <w:tcBorders/>
            <w:vAlign w:val="center"/>
          </w:tcPr>
          <w:p>
            <w:pPr>
              <w:pStyle w:val="TableContents"/>
              <w:bidi w:val="0"/>
              <w:spacing w:before="0" w:after="283"/>
              <w:jc w:val="left"/>
              <w:rPr/>
            </w:pPr>
            <w:r>
              <w:rPr/>
              <w:t>​</w:t>
            </w:r>
          </w:p>
        </w:tc>
        <w:tc>
          <w:tcPr>
            <w:tcW w:w="2487" w:type="dxa"/>
            <w:tcBorders/>
            <w:vAlign w:val="center"/>
          </w:tcPr>
          <w:p>
            <w:pPr>
              <w:pStyle w:val="TableContents"/>
              <w:bidi w:val="0"/>
              <w:spacing w:before="0" w:after="0"/>
              <w:jc w:val="center"/>
              <w:rPr/>
            </w:pPr>
            <w:r>
              <w:rPr/>
              <w:drawing>
                <wp:inline distT="0" distB="0" distL="0" distR="0">
                  <wp:extent cx="1514475" cy="176212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1514475" cy="1762125"/>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Paul R. Garcia, </w:t>
              <w:br/>
              <w:t xml:space="preserve">Independent Director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71</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00" w:before="120" w:after="0"/>
              <w:ind w:left="200" w:right="0" w:hanging="0"/>
              <w:jc w:val="left"/>
              <w:rPr/>
            </w:pPr>
            <w:r>
              <w:rPr>
                <w:spacing w:val="4"/>
              </w:rPr>
              <w:t>Audit Committee</w:t>
            </w:r>
            <w:r>
              <w:rPr/>
              <w:t xml:space="preserve"> </w:t>
            </w:r>
            <w:r>
              <mc:AlternateContent>
                <mc:Choice Requires="wps">
                  <w:drawing>
                    <wp:anchor behindDoc="0" distT="76200" distB="0" distL="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24"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200" w:right="0" w:hanging="0"/>
              <w:jc w:val="left"/>
              <w:rPr/>
            </w:pPr>
            <w:r>
              <w:rPr>
                <w:spacing w:val="4"/>
              </w:rPr>
              <w:t>Compensation Committee</w:t>
            </w:r>
            <w:r>
              <w:rPr/>
              <w:t xml:space="preserve"> </w:t>
            </w:r>
            <w:r>
              <mc:AlternateContent>
                <mc:Choice Requires="wps">
                  <w:drawing>
                    <wp:anchor behindDoc="0" distT="25400" distB="0" distL="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25"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28" w:type="dxa"/>
            <w:tcBorders/>
            <w:vAlign w:val="center"/>
          </w:tcPr>
          <w:p>
            <w:pPr>
              <w:pStyle w:val="TableContents"/>
              <w:bidi w:val="0"/>
              <w:spacing w:lineRule="atLeast" w:line="240" w:before="0" w:after="0"/>
              <w:jc w:val="left"/>
              <w:rPr/>
            </w:pPr>
            <w:r>
              <w:rPr>
                <w:spacing w:val="4"/>
              </w:rPr>
              <w:t>Mr. Garcia has served as a director since the Business Combination. Mr. Garcia served as chairman and CEO of Global Payments Inc. (NYSE:GPN) (“Global Payments”), a leading provider of credit card processing, check authorization and other electronic payment processing services, from June 1999 to May 2014. Mr. Garcia has served as a director of Deluxe Corporation (NYSE: DLX) since August 2020 and as a director of UnitedHealthGroup Incorporated (NYSE: UNH) since November 2021. Mr. Garcia also serves as a director of Payment Alliance International. He previously served on the board of directors of The Dun &amp; Bradstreet Corporation from May 2012 until February 2019, West Corporation from March 2013 until October 2017, Global Payments from February 2001 until May 2014, and Truist Financial Corp. and its predecessor SunTrust Banks, Inc. from August 2014 until October 2021. We believe that Mr. Garcia is well-qualified to serve as a member of our Board due to his extensive experience in the payment services industry.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479"/>
        <w:gridCol w:w="109"/>
        <w:gridCol w:w="109"/>
        <w:gridCol w:w="5836"/>
        <w:gridCol w:w="155"/>
      </w:tblGrid>
      <w:tr>
        <w:trPr/>
        <w:tc>
          <w:tcPr>
            <w:tcW w:w="124" w:type="dxa"/>
            <w:tcBorders/>
            <w:vAlign w:val="center"/>
          </w:tcPr>
          <w:p>
            <w:pPr>
              <w:pStyle w:val="TableContents"/>
              <w:bidi w:val="0"/>
              <w:spacing w:before="0" w:after="283"/>
              <w:jc w:val="left"/>
              <w:rPr/>
            </w:pPr>
            <w:r>
              <w:rPr/>
              <w:t>​</w:t>
            </w:r>
          </w:p>
        </w:tc>
        <w:tc>
          <w:tcPr>
            <w:tcW w:w="2479" w:type="dxa"/>
            <w:tcBorders/>
            <w:vAlign w:val="center"/>
          </w:tcPr>
          <w:p>
            <w:pPr>
              <w:pStyle w:val="TableContents"/>
              <w:bidi w:val="0"/>
              <w:spacing w:before="0" w:after="0"/>
              <w:jc w:val="center"/>
              <w:rPr/>
            </w:pPr>
            <w:r>
              <w:rPr/>
              <w:drawing>
                <wp:inline distT="0" distB="0" distL="0" distR="0">
                  <wp:extent cx="1485900" cy="187642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485900" cy="1876425"/>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Maryann Goebel, Independent Director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73</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40" w:before="120" w:after="0"/>
              <w:ind w:left="200" w:right="0" w:hanging="0"/>
              <w:jc w:val="left"/>
              <w:rPr>
                <w:spacing w:val="4"/>
              </w:rPr>
            </w:pPr>
            <w:r>
              <w:rPr>
                <w:spacing w:val="4"/>
              </w:rPr>
              <w:t xml:space="preserve">Technology Committee (Chair) </w:t>
            </w:r>
            <w:r>
              <mc:AlternateContent>
                <mc:Choice Requires="wps">
                  <w:drawing>
                    <wp:anchor behindDoc="0" distT="76200" distB="0" distL="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27"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lineRule="atLeast" w:line="240" w:before="0" w:after="0"/>
              <w:jc w:val="left"/>
              <w:rPr/>
            </w:pPr>
            <w:r>
              <w:rPr>
                <w:spacing w:val="4"/>
              </w:rPr>
              <w:t>Ms. Goebel has served as a director since the Business Combination. Ms. Goebel has been an IT management consultant, providing assessments and recommendations regarding IT management and coaching to chief information officers, since July 2012. Ms. Goebel has served as a director of Seacoast Banking Corporation of Florida (“Seacoast”) (NASDAQ: SBCF), a bank holding company, since February 2014. She is also a member of Seacoast’s audit committee, enterprise risk management committee and information technology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for clients who chose to outsource their processing to Fiserv. Ms. Goebel previously served on the Arts and Sciences Advisory Board of Worcester Polytechnic Institute. In 2017, Ms. Goebel was awarded the CERT Certificate in Cybersecurity Oversight by the NACD. We believe that Ms. Goebel is well-qualified to serve as a member of our Board due to her extensive experience in the information technology industry.</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2451"/>
        <w:gridCol w:w="109"/>
        <w:gridCol w:w="109"/>
        <w:gridCol w:w="5864"/>
        <w:gridCol w:w="155"/>
      </w:tblGrid>
      <w:tr>
        <w:trPr/>
        <w:tc>
          <w:tcPr>
            <w:tcW w:w="124" w:type="dxa"/>
            <w:tcBorders/>
            <w:vAlign w:val="center"/>
          </w:tcPr>
          <w:p>
            <w:pPr>
              <w:pStyle w:val="TableContents"/>
              <w:bidi w:val="0"/>
              <w:spacing w:before="0" w:after="283"/>
              <w:jc w:val="left"/>
              <w:rPr/>
            </w:pPr>
            <w:r>
              <w:rPr/>
              <w:t>​</w:t>
            </w:r>
          </w:p>
        </w:tc>
        <w:tc>
          <w:tcPr>
            <w:tcW w:w="2451" w:type="dxa"/>
            <w:tcBorders/>
            <w:vAlign w:val="center"/>
          </w:tcPr>
          <w:p>
            <w:pPr>
              <w:pStyle w:val="TableContents"/>
              <w:bidi w:val="0"/>
              <w:spacing w:before="0" w:after="0"/>
              <w:jc w:val="center"/>
              <w:rPr/>
            </w:pPr>
            <w:r>
              <w:rPr/>
              <w:drawing>
                <wp:inline distT="0" distB="0" distL="0" distR="0">
                  <wp:extent cx="1476375" cy="1895475"/>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1476375" cy="1895475"/>
                          </a:xfrm>
                          <a:prstGeom prst="rect">
                            <a:avLst/>
                          </a:prstGeom>
                        </pic:spPr>
                      </pic:pic>
                    </a:graphicData>
                  </a:graphic>
                </wp:inline>
              </w:drawing>
            </w:r>
            <w:r>
              <w:rPr/>
              <w:t xml:space="preserve"> </w:t>
            </w:r>
          </w:p>
          <w:p>
            <w:pPr>
              <w:pStyle w:val="TableContents"/>
              <w:bidi w:val="0"/>
              <w:spacing w:lineRule="atLeast" w:line="240" w:before="197" w:after="283"/>
              <w:jc w:val="left"/>
              <w:rPr>
                <w:b/>
              </w:rPr>
            </w:pPr>
            <w:r>
              <w:rPr>
                <w:b/>
                <w:spacing w:val="-4"/>
              </w:rPr>
              <w:t>Robert H. Hartheimer, Independent Director</w:t>
            </w:r>
            <w:r>
              <w:rPr>
                <w:b/>
              </w:rPr>
              <w:t xml:space="preserve">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66</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00" w:before="120" w:after="0"/>
              <w:ind w:left="200" w:right="0" w:hanging="0"/>
              <w:jc w:val="left"/>
              <w:rPr>
                <w:spacing w:val="4"/>
              </w:rPr>
            </w:pPr>
            <w:r>
              <w:rPr>
                <w:spacing w:val="4"/>
              </w:rPr>
              <w:t xml:space="preserve">Audit Committee (Chair) </w:t>
            </w:r>
            <w:r>
              <mc:AlternateContent>
                <mc:Choice Requires="wps">
                  <w:drawing>
                    <wp:anchor behindDoc="0" distT="76200" distB="0" distL="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29"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4" w:type="dxa"/>
            <w:tcBorders/>
            <w:vAlign w:val="center"/>
          </w:tcPr>
          <w:p>
            <w:pPr>
              <w:pStyle w:val="TableContents"/>
              <w:bidi w:val="0"/>
              <w:spacing w:lineRule="atLeast" w:line="240" w:before="0" w:after="0"/>
              <w:jc w:val="left"/>
              <w:rPr/>
            </w:pPr>
            <w:r>
              <w:rPr>
                <w:spacing w:val="4"/>
              </w:rPr>
              <w:t>Mr. Hartheimer has served as a director since June 2018 (including service as a director of Thunder Bridge through the Business Combination). Mr. Hartheimer has been a financial services and bank regulatory consultant for the past 22 years currently with both his own firm and the Klaros Group as a Senior Advisor. In the past Mr. Hartheimer was a managing Director at Promontory Financial Group. In 2016 Mr. Hartheimer founded, along with three co-founders, Jasper, a U.S. based credit card issuer and he served various roles including Chief Regulatory and Compliance Officer until 2022. In 1991, Mr. Hartheimer joined the Federal Deposit Insurance Corporation, where he and a small team created the Division of Resolutions to analyze and sell failed banks. He went on to serve as the Director of that division and was responsible for the sale of 200 banks in four years. Mr. Hartheimer’s other past positions include over 14 years in senior roles at investment banks, including Merrill Lynch, Smith Barney and Friedman Billings Ramsey. In addition to Mr. Hartheimer’s service as a director of Repay, he is an independent director of CardWorks, a consumer lender and servicer, since 2017, and since 2021 has also been a director of a publicly held SPAC seeking acquisition. Mr. Hartheimer is chairman of the audit committees of each of these companies and chair of CardWorks’ compliance/risk committee. Mr. Hartheimer has been a director of ten U.S. companies in the last 26 years; six public companies, two private and two subsidiaries of public companies. These include three banks, one consumer lender and credit card servicer, two payments companies, two SPACs which successfully acquired businesses, two SPACs in search of an acquisition (one of which terminated its business on December 31, 2023) and one investment management business. In addition to his current role as chairman of three audit committees and one compliance/risk committee, he chaired audit Committees at four past companies and chaired compliance/</w:t>
            </w:r>
            <w:r>
              <w:rPr/>
              <w:t>​</w:t>
            </w:r>
            <w:r>
              <w:rPr>
                <w:spacing w:val="4"/>
              </w:rPr>
              <w:t>risk committees at two companies. We believe that Mr. Hartheimer is well-qualified to serve on our Board because he brings to it his extensive experience in the financial services industry, the bank regulatory community and investment banking.</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438"/>
        <w:gridCol w:w="109"/>
        <w:gridCol w:w="109"/>
        <w:gridCol w:w="5877"/>
        <w:gridCol w:w="155"/>
      </w:tblGrid>
      <w:tr>
        <w:trPr/>
        <w:tc>
          <w:tcPr>
            <w:tcW w:w="124" w:type="dxa"/>
            <w:tcBorders/>
            <w:vAlign w:val="center"/>
          </w:tcPr>
          <w:p>
            <w:pPr>
              <w:pStyle w:val="TableContents"/>
              <w:bidi w:val="0"/>
              <w:spacing w:before="0" w:after="283"/>
              <w:jc w:val="left"/>
              <w:rPr/>
            </w:pPr>
            <w:r>
              <w:rPr/>
              <w:t>​</w:t>
            </w:r>
          </w:p>
        </w:tc>
        <w:tc>
          <w:tcPr>
            <w:tcW w:w="2438" w:type="dxa"/>
            <w:tcBorders/>
            <w:vAlign w:val="center"/>
          </w:tcPr>
          <w:p>
            <w:pPr>
              <w:pStyle w:val="TableContents"/>
              <w:bidi w:val="0"/>
              <w:spacing w:before="0" w:after="0"/>
              <w:jc w:val="center"/>
              <w:rPr/>
            </w:pPr>
            <w:r>
              <w:rPr/>
              <w:drawing>
                <wp:inline distT="0" distB="0" distL="0" distR="0">
                  <wp:extent cx="1457325" cy="1781175"/>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1457325" cy="1781175"/>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William Jacobs, Independent Director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82</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40" w:before="120" w:after="0"/>
              <w:ind w:left="200" w:right="0" w:hanging="0"/>
              <w:jc w:val="left"/>
              <w:rPr/>
            </w:pPr>
            <w:r>
              <w:rPr>
                <w:spacing w:val="4"/>
              </w:rPr>
              <w:t>Compensation Committee (Chair)</w:t>
            </w:r>
            <w:r>
              <w:rPr/>
              <w:t xml:space="preserve"> </w:t>
            </w:r>
            <w:r>
              <mc:AlternateContent>
                <mc:Choice Requires="wps">
                  <w:drawing>
                    <wp:anchor behindDoc="0" distT="76200" distB="0" distL="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31"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Nominating and Corporate Governance Committee</w:t>
            </w:r>
            <w:r>
              <w:rPr/>
              <w:t xml:space="preserve"> </w:t>
            </w:r>
            <w:r>
              <mc:AlternateContent>
                <mc:Choice Requires="wps">
                  <w:drawing>
                    <wp:anchor behindDoc="0" distT="76200" distB="0" distL="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32"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77" w:type="dxa"/>
            <w:tcBorders/>
            <w:vAlign w:val="center"/>
          </w:tcPr>
          <w:p>
            <w:pPr>
              <w:pStyle w:val="TableContents"/>
              <w:bidi w:val="0"/>
              <w:spacing w:lineRule="atLeast" w:line="240" w:before="0" w:after="0"/>
              <w:jc w:val="left"/>
              <w:rPr/>
            </w:pPr>
            <w:r>
              <w:rPr>
                <w:spacing w:val="4"/>
              </w:rPr>
              <w:t>Mr. Jacobs has served as a director since the Business Combination. From its formation in September 2016 through the Business Combination, Mr. Jacobs served as a member of the board of directors of Hawk Parent. Mr. Jacobs has served as a director of and as chairman of Green Dot Corporation (NYSE: GDOT) (“Green Dot”), a financial services technology company, since June 2016 (and he has served as a director of Green Dot since April 2016). Mr. Jacobs served as a director of Global Payments, from 2011 until April 2022, including service as Lead Independent Director of Global Payments from 2003 to May 2014 and as chairman of the board of directors of Global Payments from June 2014 to September 2019. Mr. Jacobs also served as Interim Chief Executive Officer of Green Dot from January 2020 to March 2020. From March 2021 through July 2023, Mr. Jacobs has also served as a member of the board of directors of Corsair Partnering Corporation, a special purpose acquisition company sponsored by an affiliate of Corsair Capital LLC. He previously served on the boards of directors of Asset Acceptance Capital Corp., a publicly-traded debt collection company, from 2004 to June 2013, when that company merged with Encore Capital Group, Inc. He also served as a member of the board of directors of Investment Technology Group, Inc., a publicly-traded electronic trading resources company, from June 1994 to March 2008, Alpharma, Inc., a publicly-traded specialty pharmaceutical company, from May 2002 to May 2006, and as a member of the Board of Trustees of The American University in Washington, D.C. from 1985 to 2001, of which he served as chairman from 1997 to 2001. From 1995 to 2000, Mr. Jacobs served in various senior roles at MasterCard International, including as Senior Executive Vice President. Before joining MasterCard International, Mr. Jacobs co-founded Financial Security Assurance Inc. (FSA), where he served as Chief Operating Officer. Mr. Jacobs has served as an operating partner of Corsair Capital LLC since 2018. We believe Mr. Jacobs is well-qualified to serve on our Board based on his management experience and expertise in the payments and financial services industries.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417"/>
        <w:gridCol w:w="109"/>
        <w:gridCol w:w="109"/>
        <w:gridCol w:w="5898"/>
        <w:gridCol w:w="155"/>
      </w:tblGrid>
      <w:tr>
        <w:trPr/>
        <w:tc>
          <w:tcPr>
            <w:tcW w:w="124" w:type="dxa"/>
            <w:tcBorders/>
            <w:vAlign w:val="center"/>
          </w:tcPr>
          <w:p>
            <w:pPr>
              <w:pStyle w:val="TableContents"/>
              <w:bidi w:val="0"/>
              <w:spacing w:before="0" w:after="283"/>
              <w:jc w:val="left"/>
              <w:rPr/>
            </w:pPr>
            <w:r>
              <w:rPr/>
              <w:t>​</w:t>
            </w:r>
          </w:p>
        </w:tc>
        <w:tc>
          <w:tcPr>
            <w:tcW w:w="2417" w:type="dxa"/>
            <w:tcBorders/>
            <w:vAlign w:val="center"/>
          </w:tcPr>
          <w:p>
            <w:pPr>
              <w:pStyle w:val="TableContents"/>
              <w:bidi w:val="0"/>
              <w:spacing w:before="0" w:after="0"/>
              <w:jc w:val="center"/>
              <w:rPr/>
            </w:pPr>
            <w:r>
              <w:rPr/>
              <w:drawing>
                <wp:inline distT="0" distB="0" distL="0" distR="0">
                  <wp:extent cx="1438275" cy="17907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1438275" cy="1790700"/>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Peter “Pete” J. Kight, Independent Chairman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68</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40" w:before="120" w:after="0"/>
              <w:ind w:left="200" w:right="0" w:hanging="0"/>
              <w:jc w:val="left"/>
              <w:rPr/>
            </w:pPr>
            <w:r>
              <w:rPr>
                <w:spacing w:val="4"/>
              </w:rPr>
              <w:t>Nominating and Corporate Governance Committee (Chair)</w:t>
            </w:r>
            <w:r>
              <w:rPr/>
              <w:t xml:space="preserve"> </w:t>
            </w:r>
            <w:r>
              <mc:AlternateContent>
                <mc:Choice Requires="wps">
                  <w:drawing>
                    <wp:anchor behindDoc="0" distT="76200" distB="0" distL="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3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Technology Committee</w:t>
            </w:r>
            <w:r>
              <w:rPr/>
              <w:t xml:space="preserve"> </w:t>
            </w:r>
            <w:r>
              <mc:AlternateContent>
                <mc:Choice Requires="wps">
                  <w:drawing>
                    <wp:anchor behindDoc="0" distT="76200" distB="0" distL="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3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98" w:type="dxa"/>
            <w:tcBorders/>
            <w:vAlign w:val="center"/>
          </w:tcPr>
          <w:p>
            <w:pPr>
              <w:pStyle w:val="TableContents"/>
              <w:bidi w:val="0"/>
              <w:spacing w:lineRule="atLeast" w:line="240" w:before="0" w:after="0"/>
              <w:jc w:val="left"/>
              <w:rPr/>
            </w:pPr>
            <w:r>
              <w:rPr>
                <w:spacing w:val="4"/>
              </w:rPr>
              <w:t>Mr. Kight has been the Chairman of our Board since the Business Combination and previously served as the Executive Chairman of Thunder Bridge since June 2018. Mr. Kight has 35 years of industry experience. He has been an Angel Investor and Advisor to Commerce Ventures, a Silicon Valley based venture capital firm focused on investing in innovations in the retail and financial services industries, since 2012. Mr. Kight previously served as a co-chairman and Managing Partner at Comvest Partners, a mid-market private investment firm, from 2010 to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has served as a director of Bill.com Holdings, Inc. (NYSE: BILL), a provider of software that digitizes and automates back-office financial operations since May 2019 and as a director of indie Semiconductor, Inc. (NASDAQ: INDI), an Autotech solutions innovator, from June 2021 to present. Mr. Kight previously served on the boards of directors of Akamai Technologies, Inc. (NASDAQ GS: AKAM), distributor of computing solutions and services, from 2004 to 2012, Manhattan Associates, Inc., (NASDAQ: MANH) a provider of supply chain planning and execution solutions, from 2007 to 2011, Kabbage, Inc., a technology-driven SME lending company, from 2015 to November 2017, Blackbaud, Inc. (NASDAQ: BLKB), a supplier of software and services specifically designed for nonprofit organizations, from 2014 to 2020, and Huntington Bancshares Incorporated (NASDAQ: HBAN), a regional bank holding company, from 2012 to 2020. He has been a Principal of Thunder Bridge Capital, LLC, since 2017. He holds more than a dozen patents and publications for electronic banking and payment systems. We believe that Mr. Kight is well-qualified to serve as a member of our Board due to his extensive financial services, operational, management and investment experience.</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2578"/>
        <w:gridCol w:w="109"/>
        <w:gridCol w:w="109"/>
        <w:gridCol w:w="5737"/>
        <w:gridCol w:w="155"/>
      </w:tblGrid>
      <w:tr>
        <w:trPr/>
        <w:tc>
          <w:tcPr>
            <w:tcW w:w="124" w:type="dxa"/>
            <w:tcBorders/>
            <w:vAlign w:val="center"/>
          </w:tcPr>
          <w:p>
            <w:pPr>
              <w:pStyle w:val="TableContents"/>
              <w:bidi w:val="0"/>
              <w:spacing w:before="0" w:after="283"/>
              <w:jc w:val="left"/>
              <w:rPr/>
            </w:pPr>
            <w:r>
              <w:rPr/>
              <w:t>​</w:t>
            </w:r>
          </w:p>
        </w:tc>
        <w:tc>
          <w:tcPr>
            <w:tcW w:w="2578" w:type="dxa"/>
            <w:tcBorders/>
            <w:vAlign w:val="center"/>
          </w:tcPr>
          <w:p>
            <w:pPr>
              <w:pStyle w:val="TableContents"/>
              <w:bidi w:val="0"/>
              <w:spacing w:before="0" w:after="0"/>
              <w:jc w:val="center"/>
              <w:rPr/>
            </w:pPr>
            <w:r>
              <w:rPr/>
              <w:drawing>
                <wp:inline distT="0" distB="0" distL="0" distR="0">
                  <wp:extent cx="1485900" cy="1838325"/>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12"/>
                          <a:stretch>
                            <a:fillRect/>
                          </a:stretch>
                        </pic:blipFill>
                        <pic:spPr bwMode="auto">
                          <a:xfrm>
                            <a:off x="0" y="0"/>
                            <a:ext cx="1485900" cy="1838325"/>
                          </a:xfrm>
                          <a:prstGeom prst="rect">
                            <a:avLst/>
                          </a:prstGeom>
                        </pic:spPr>
                      </pic:pic>
                    </a:graphicData>
                  </a:graphic>
                </wp:inline>
              </w:drawing>
            </w:r>
            <w:r>
              <w:rPr/>
              <w:t xml:space="preserve"> </w:t>
            </w:r>
          </w:p>
          <w:p>
            <w:pPr>
              <w:pStyle w:val="TableContents"/>
              <w:bidi w:val="0"/>
              <w:spacing w:lineRule="atLeast" w:line="240" w:before="137" w:after="283"/>
              <w:jc w:val="left"/>
              <w:rPr>
                <w:b/>
              </w:rPr>
            </w:pPr>
            <w:r>
              <w:rPr>
                <w:b/>
                <w:spacing w:val="-4"/>
              </w:rPr>
              <w:t>John Morris, Chief Executive Officer and Co-Founder, Director</w:t>
            </w:r>
            <w:r>
              <w:rPr>
                <w:b/>
              </w:rPr>
              <w:t xml:space="preserve"> </w:t>
            </w:r>
          </w:p>
          <w:p>
            <w:pPr>
              <w:pStyle w:val="TableContents"/>
              <w:bidi w:val="0"/>
              <w:spacing w:lineRule="atLeast" w:line="240" w:before="120" w:after="283"/>
              <w:jc w:val="left"/>
              <w:rPr>
                <w:b/>
              </w:rPr>
            </w:pPr>
            <w:r>
              <w:rPr>
                <w:b/>
                <w:spacing w:val="-4"/>
              </w:rPr>
              <w:t>Age:</w:t>
            </w:r>
            <w:r>
              <w:rPr>
                <w:b/>
                <w:spacing w:val="4"/>
              </w:rPr>
              <w:t xml:space="preserve"> </w:t>
            </w:r>
            <w:r>
              <w:rPr>
                <w:b w:val="false"/>
                <w:spacing w:val="4"/>
              </w:rPr>
              <w:t>55</w:t>
            </w:r>
            <w:r>
              <w:rPr>
                <w:b/>
              </w:rPr>
              <w:t xml:space="preserve"> </w:t>
            </w:r>
          </w:p>
          <w:p>
            <w:pPr>
              <w:pStyle w:val="TableContents"/>
              <w:bidi w:val="0"/>
              <w:spacing w:lineRule="atLeast" w:line="240" w:before="120" w:after="283"/>
              <w:jc w:val="left"/>
              <w:rPr>
                <w:b/>
              </w:rPr>
            </w:pPr>
            <w:r>
              <w:rPr>
                <w:b/>
                <w:spacing w:val="-4"/>
              </w:rPr>
              <w:t>Committee Memberships:</w:t>
            </w:r>
            <w:r>
              <w:rPr>
                <w:b/>
              </w:rPr>
              <w:t xml:space="preserve"> </w:t>
              <w:br/>
            </w:r>
            <w:r>
              <w:rPr>
                <w:b w:val="false"/>
                <w:spacing w:val="4"/>
              </w:rPr>
              <w:t xml:space="preserve">None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37" w:type="dxa"/>
            <w:tcBorders/>
            <w:vAlign w:val="center"/>
          </w:tcPr>
          <w:p>
            <w:pPr>
              <w:pStyle w:val="TableContents"/>
              <w:bidi w:val="0"/>
              <w:spacing w:lineRule="atLeast" w:line="240" w:before="0" w:after="0"/>
              <w:jc w:val="left"/>
              <w:rPr/>
            </w:pPr>
            <w:r>
              <w:rPr>
                <w:spacing w:val="4"/>
              </w:rPr>
              <w:t>Mr. Morris has served as our Chief Executive Officer and a director since the Business Combination. He co-founded REPAY LLC and has served as its Chief Executive Officer since 2010. From its formation in September 2016 through the Business Combination, Mr. Morris served as a member of the board of directors of Hawk Parent. Mr. Morris has also been a member of the board of directors of Repay Holdings, LLC since its formation in September 2013. From 1997 to 2008, Mr. Morris served as President of Security Check Atlanta, a check processing and recovery solutions company, until its acquisition by Payliance, where he served as Executive Vice President of Sales and Marketing prior to commencing his role as Chief Executive Officer of REPAY LLC. From 1994 to 1997, Mr. Morris served in several corporate finance positions for Bass Hotels and Resorts, including Director of Corporate Finance. We believe that Mr. Morris is well-qualified to serve as a member of our Board because of the experience that he brings as a co-founder as well as his over 20 years of experience in the payments industry.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485"/>
        <w:gridCol w:w="109"/>
        <w:gridCol w:w="109"/>
        <w:gridCol w:w="5830"/>
        <w:gridCol w:w="155"/>
      </w:tblGrid>
      <w:tr>
        <w:trPr/>
        <w:tc>
          <w:tcPr>
            <w:tcW w:w="124" w:type="dxa"/>
            <w:tcBorders/>
            <w:vAlign w:val="center"/>
          </w:tcPr>
          <w:p>
            <w:pPr>
              <w:pStyle w:val="TableContents"/>
              <w:bidi w:val="0"/>
              <w:spacing w:before="0" w:after="283"/>
              <w:jc w:val="left"/>
              <w:rPr/>
            </w:pPr>
            <w:r>
              <w:rPr/>
              <w:t>​</w:t>
            </w:r>
          </w:p>
        </w:tc>
        <w:tc>
          <w:tcPr>
            <w:tcW w:w="2485" w:type="dxa"/>
            <w:tcBorders/>
            <w:vAlign w:val="center"/>
          </w:tcPr>
          <w:p>
            <w:pPr>
              <w:pStyle w:val="TableContents"/>
              <w:bidi w:val="0"/>
              <w:spacing w:before="0" w:after="0"/>
              <w:jc w:val="center"/>
              <w:rPr/>
            </w:pPr>
            <w:r>
              <w:rPr/>
              <w:drawing>
                <wp:inline distT="0" distB="0" distL="0" distR="0">
                  <wp:extent cx="1495425" cy="160972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1495425" cy="1609725"/>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Emnet Rios, Independent Director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46</w:t>
            </w:r>
            <w:r>
              <w:rPr>
                <w:b/>
              </w:rPr>
              <w:t xml:space="preserve"> </w:t>
            </w:r>
          </w:p>
          <w:p>
            <w:pPr>
              <w:pStyle w:val="TableContents"/>
              <w:bidi w:val="0"/>
              <w:spacing w:lineRule="atLeast" w:line="200" w:before="160" w:after="283"/>
              <w:jc w:val="left"/>
              <w:rPr>
                <w:b/>
              </w:rPr>
            </w:pPr>
            <w:r>
              <w:rPr>
                <w:b/>
                <w:spacing w:val="-4"/>
              </w:rPr>
              <w:t>Committee Memberships:</w:t>
            </w:r>
            <w:r>
              <w:rPr>
                <w:b/>
              </w:rPr>
              <w:t xml:space="preserve"> </w:t>
            </w:r>
          </w:p>
          <w:p>
            <w:pPr>
              <w:pStyle w:val="TableContents"/>
              <w:bidi w:val="0"/>
              <w:spacing w:lineRule="atLeast" w:line="240" w:before="120" w:after="0"/>
              <w:ind w:left="200" w:right="0" w:hanging="0"/>
              <w:jc w:val="left"/>
              <w:rPr>
                <w:spacing w:val="4"/>
              </w:rPr>
            </w:pPr>
            <w:r>
              <w:rPr>
                <w:spacing w:val="4"/>
              </w:rPr>
              <w:t xml:space="preserve">Audit Committee </w:t>
              <w:br/>
              <w:t xml:space="preserve">Technology Committee </w:t>
            </w:r>
            <w:r>
              <mc:AlternateContent>
                <mc:Choice Requires="wps">
                  <w:drawing>
                    <wp:anchor behindDoc="0" distT="76200" distB="0" distL="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3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30" w:type="dxa"/>
            <w:tcBorders/>
            <w:vAlign w:val="center"/>
          </w:tcPr>
          <w:p>
            <w:pPr>
              <w:pStyle w:val="TableContents"/>
              <w:bidi w:val="0"/>
              <w:spacing w:lineRule="atLeast" w:line="240" w:before="0" w:after="0"/>
              <w:jc w:val="left"/>
              <w:rPr/>
            </w:pPr>
            <w:r>
              <w:rPr>
                <w:spacing w:val="4"/>
              </w:rPr>
              <w:t>Ms. Rios has served as a director since January 2022. Since July 2018, Ms. Rios has served as Chief Financial Officer of Digital Asset Holdings, LLC (“Digital Asset”), which designs and delivers distributed ledger technology products for the financial services, healthcare, supply chain and insurance industries. From July 2019 to January 2023, she also served as Chief Operating Officer of Digital Asset. From May 2016 to July 2018, Ms. Rios served as the Controller and Global Head of Operations of Digital Asset. Prior to joining Digital Asset, Ms. Rios served in various finance roles for NatWest Group (formerly the Royal Bank of Scotland) where she was heavily involved in the bank’s restructuring efforts following the 2008 global financial crisis. Earlier on, Ms. Rios spent over 5 years at IBM in various leadership roles from the firm’s corporate headquarters in New York. We believe that Ms. Rios is well-qualified to serve as a member of our Board because of her extensive combined experience of leading the finance, HR and operations functions of high growth organizations and her background in both the financial services and technology industries.</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2497"/>
        <w:gridCol w:w="109"/>
        <w:gridCol w:w="109"/>
        <w:gridCol w:w="5818"/>
        <w:gridCol w:w="155"/>
      </w:tblGrid>
      <w:tr>
        <w:trPr/>
        <w:tc>
          <w:tcPr>
            <w:tcW w:w="124" w:type="dxa"/>
            <w:tcBorders/>
            <w:vAlign w:val="center"/>
          </w:tcPr>
          <w:p>
            <w:pPr>
              <w:pStyle w:val="TableContents"/>
              <w:bidi w:val="0"/>
              <w:spacing w:before="0" w:after="283"/>
              <w:jc w:val="left"/>
              <w:rPr/>
            </w:pPr>
            <w:r>
              <w:rPr/>
              <w:t>​</w:t>
            </w:r>
          </w:p>
        </w:tc>
        <w:tc>
          <w:tcPr>
            <w:tcW w:w="2497" w:type="dxa"/>
            <w:tcBorders/>
            <w:vAlign w:val="center"/>
          </w:tcPr>
          <w:p>
            <w:pPr>
              <w:pStyle w:val="TableContents"/>
              <w:bidi w:val="0"/>
              <w:spacing w:before="0" w:after="0"/>
              <w:jc w:val="center"/>
              <w:rPr/>
            </w:pPr>
            <w:r>
              <w:rPr/>
              <w:drawing>
                <wp:inline distT="0" distB="0" distL="0" distR="0">
                  <wp:extent cx="1495425" cy="167640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14"/>
                          <a:stretch>
                            <a:fillRect/>
                          </a:stretch>
                        </pic:blipFill>
                        <pic:spPr bwMode="auto">
                          <a:xfrm>
                            <a:off x="0" y="0"/>
                            <a:ext cx="1495425" cy="1676400"/>
                          </a:xfrm>
                          <a:prstGeom prst="rect">
                            <a:avLst/>
                          </a:prstGeom>
                        </pic:spPr>
                      </pic:pic>
                    </a:graphicData>
                  </a:graphic>
                </wp:inline>
              </w:drawing>
            </w:r>
            <w:r>
              <w:rPr/>
              <w:t xml:space="preserve"> </w:t>
            </w:r>
          </w:p>
          <w:p>
            <w:pPr>
              <w:pStyle w:val="TableContents"/>
              <w:bidi w:val="0"/>
              <w:spacing w:lineRule="atLeast" w:line="240" w:before="197" w:after="283"/>
              <w:jc w:val="left"/>
              <w:rPr>
                <w:b/>
                <w:spacing w:val="-4"/>
              </w:rPr>
            </w:pPr>
            <w:r>
              <w:rPr>
                <w:b/>
                <w:spacing w:val="-4"/>
              </w:rPr>
              <w:t xml:space="preserve">Richard E. Thornburgh, Independent Director </w:t>
            </w:r>
          </w:p>
          <w:p>
            <w:pPr>
              <w:pStyle w:val="TableContents"/>
              <w:bidi w:val="0"/>
              <w:spacing w:lineRule="atLeast" w:line="200" w:before="160" w:after="283"/>
              <w:jc w:val="left"/>
              <w:rPr>
                <w:b/>
              </w:rPr>
            </w:pPr>
            <w:r>
              <w:rPr>
                <w:b/>
                <w:spacing w:val="-4"/>
              </w:rPr>
              <w:t>Age:</w:t>
            </w:r>
            <w:r>
              <w:rPr>
                <w:b/>
                <w:spacing w:val="4"/>
              </w:rPr>
              <w:t xml:space="preserve"> </w:t>
            </w:r>
            <w:r>
              <w:rPr>
                <w:b w:val="false"/>
                <w:spacing w:val="4"/>
              </w:rPr>
              <w:t>71</w:t>
            </w:r>
            <w:r>
              <w:rPr>
                <w:b/>
              </w:rPr>
              <w:t xml:space="preserve"> </w:t>
            </w:r>
          </w:p>
          <w:p>
            <w:pPr>
              <w:pStyle w:val="TableContents"/>
              <w:bidi w:val="0"/>
              <w:spacing w:lineRule="atLeast" w:line="200" w:before="160" w:after="283"/>
              <w:jc w:val="left"/>
              <w:rPr>
                <w:b/>
              </w:rPr>
            </w:pPr>
            <w:r>
              <w:rPr>
                <w:b/>
                <w:spacing w:val="-4"/>
              </w:rPr>
              <w:t>Committees Memberships:</w:t>
            </w:r>
            <w:r>
              <w:rPr>
                <w:b/>
              </w:rPr>
              <w:t xml:space="preserve"> </w:t>
            </w:r>
          </w:p>
          <w:p>
            <w:pPr>
              <w:pStyle w:val="TableContents"/>
              <w:bidi w:val="0"/>
              <w:spacing w:lineRule="atLeast" w:line="240" w:before="40" w:after="0"/>
              <w:ind w:left="200" w:right="0" w:hanging="0"/>
              <w:jc w:val="left"/>
              <w:rPr/>
            </w:pPr>
            <w:r>
              <w:rPr>
                <w:spacing w:val="4"/>
              </w:rPr>
              <w:t>Compensation Committee</w:t>
            </w:r>
            <w:r>
              <w:rPr/>
              <w:t xml:space="preserve"> </w:t>
            </w:r>
            <w:r>
              <mc:AlternateContent>
                <mc:Choice Requires="wps">
                  <w:drawing>
                    <wp:anchor behindDoc="0" distT="25400" distB="0" distL="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4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200" w:right="0" w:hanging="0"/>
              <w:jc w:val="left"/>
              <w:rPr/>
            </w:pPr>
            <w:r>
              <w:rPr>
                <w:spacing w:val="4"/>
              </w:rPr>
              <w:t>Nominating and Corporate Governance Committee</w:t>
            </w:r>
            <w:r>
              <w:rPr/>
              <w:t xml:space="preserve"> </w:t>
            </w:r>
            <w:r>
              <mc:AlternateContent>
                <mc:Choice Requires="wps">
                  <w:drawing>
                    <wp:anchor behindDoc="0" distT="25400" distB="0" distL="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4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18" w:type="dxa"/>
            <w:tcBorders/>
            <w:vAlign w:val="center"/>
          </w:tcPr>
          <w:p>
            <w:pPr>
              <w:pStyle w:val="TableContents"/>
              <w:bidi w:val="0"/>
              <w:spacing w:lineRule="atLeast" w:line="240" w:before="0" w:after="0"/>
              <w:jc w:val="left"/>
              <w:rPr/>
            </w:pPr>
            <w:r>
              <w:rPr>
                <w:spacing w:val="4"/>
              </w:rPr>
              <w:t>Mr. Thornburgh has served as a director since the Business Combination. Since December 2011, Mr. Thornburgh has served as a director of S&amp;P Global, Inc. (NYSE: SPGI), a financial information and analytics company, where he serves as the chair of the board and chair of the executive committee and as a member of the compensation and leadership development committee and the nominating and governance committee. 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Capstar Financial Holdings, Inc., a publicly-traded bank holding company, from December 2008 to December 2019, and Newstar Financial, a commercial finance company, from December 2006 until December 2017, both of which were portfolio companies of Corsair Capital, LLC during his service.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 He also previously served a director of Reynolds America Inc. from December 2011 until December 2015. We believe Mr. Thornburgh is well-qualified to serve on our Board because of his familiarity with the capital markets and strategic transactions obtained through executive-level positions in investment banking and private equity, as well as his extensive experience in the financial services industry.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all nominees </w:t>
        <w:br/>
        <w:t xml:space="preserve">listed in Proposal One for election.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EOO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OF REPAY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elected annually and serve at the pleasure of the Board. The following sets forth the name, age as of the record date, position(s) with Repay and selected biographical information for our executive officers. The biographies of Messrs. Morris and Alias are provided above under “Proposal One: Election of Directors.” </w:t>
      </w:r>
    </w:p>
    <w:tbl>
      <w:tblPr>
        <w:tblW w:w="8812" w:type="dxa"/>
        <w:jc w:val="left"/>
        <w:tblInd w:w="1393" w:type="dxa"/>
        <w:tblLayout w:type="fixed"/>
        <w:tblCellMar>
          <w:top w:w="0" w:type="dxa"/>
          <w:left w:w="0" w:type="dxa"/>
          <w:bottom w:w="28" w:type="dxa"/>
          <w:right w:w="0" w:type="dxa"/>
        </w:tblCellMar>
      </w:tblPr>
      <w:tblGrid>
        <w:gridCol w:w="124"/>
        <w:gridCol w:w="1904"/>
        <w:gridCol w:w="109"/>
        <w:gridCol w:w="109"/>
        <w:gridCol w:w="555"/>
        <w:gridCol w:w="109"/>
        <w:gridCol w:w="109"/>
        <w:gridCol w:w="5637"/>
        <w:gridCol w:w="156"/>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904" w:type="dxa"/>
            <w:tcBorders>
              <w:bottom w:val="single" w:sz="2" w:space="0" w:color="000000"/>
            </w:tcBorders>
            <w:shd w:fill="FFFFFF" w:val="clear"/>
            <w:tcMar>
              <w:bottom w:w="4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555" w:type="dxa"/>
            <w:tcBorders>
              <w:bottom w:val="single" w:sz="2" w:space="0" w:color="000000"/>
            </w:tcBorders>
            <w:shd w:fill="FFFFFF" w:val="clear"/>
            <w:tcMar>
              <w:bottom w:w="40" w:type="dxa"/>
            </w:tcMar>
            <w:vAlign w:val="center"/>
          </w:tcPr>
          <w:p>
            <w:pPr>
              <w:pStyle w:val="TableContents"/>
              <w:bidi w:val="0"/>
              <w:spacing w:before="0" w:after="0"/>
              <w:jc w:val="center"/>
              <w:rPr/>
            </w:pPr>
            <w:r>
              <w:rPr>
                <w:spacing w:val="-3"/>
              </w:rPr>
              <w:t>Age</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5637" w:type="dxa"/>
            <w:tcBorders>
              <w:bottom w:val="single" w:sz="2" w:space="0" w:color="000000"/>
            </w:tcBorders>
            <w:shd w:fill="FFFFFF" w:val="clear"/>
            <w:tcMar>
              <w:bottom w:w="40" w:type="dxa"/>
            </w:tcMar>
            <w:vAlign w:val="center"/>
          </w:tcPr>
          <w:p>
            <w:pPr>
              <w:pStyle w:val="TableContents"/>
              <w:bidi w:val="0"/>
              <w:spacing w:before="0" w:after="0"/>
              <w:jc w:val="left"/>
              <w:rPr/>
            </w:pPr>
            <w:r>
              <w:rPr>
                <w:spacing w:val="-3"/>
              </w:rPr>
              <w:t>Position</w:t>
            </w:r>
            <w:r>
              <w:rPr/>
              <w:t xml:space="preserve"> </w:t>
            </w:r>
          </w:p>
        </w:tc>
        <w:tc>
          <w:tcPr>
            <w:tcW w:w="156"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04"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55" w:type="dxa"/>
            <w:tcBorders/>
            <w:shd w:fill="CCCCCC" w:val="clear"/>
            <w:tcMar>
              <w:bottom w:w="0" w:type="dxa"/>
            </w:tcMar>
            <w:vAlign w:val="center"/>
          </w:tcPr>
          <w:p>
            <w:pPr>
              <w:pStyle w:val="TableContents"/>
              <w:bidi w:val="0"/>
              <w:spacing w:before="0" w:after="283"/>
              <w:jc w:val="left"/>
              <w:rPr>
                <w:spacing w:val="4"/>
              </w:rPr>
            </w:pPr>
            <w:r>
              <w:rPr>
                <w:spacing w:val="4"/>
              </w:rPr>
              <w:t xml:space="preserve">55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637" w:type="dxa"/>
            <w:tcBorders/>
            <w:shd w:fill="CCCCCC" w:val="clear"/>
            <w:tcMar>
              <w:bottom w:w="0" w:type="dxa"/>
            </w:tcMar>
            <w:vAlign w:val="center"/>
          </w:tcPr>
          <w:p>
            <w:pPr>
              <w:pStyle w:val="TableContents"/>
              <w:bidi w:val="0"/>
              <w:spacing w:before="0" w:after="283"/>
              <w:jc w:val="left"/>
              <w:rPr>
                <w:spacing w:val="4"/>
              </w:rPr>
            </w:pPr>
            <w:r>
              <w:rPr>
                <w:spacing w:val="4"/>
              </w:rPr>
              <w:t xml:space="preserve">Chief Executive Officer and Co-Founder, Director </w:t>
            </w:r>
          </w:p>
        </w:tc>
        <w:tc>
          <w:tcPr>
            <w:tcW w:w="156"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4" w:type="dxa"/>
            <w:tcBorders/>
            <w:tcMar>
              <w:bottom w:w="0" w:type="dxa"/>
            </w:tcMar>
            <w:vAlign w:val="center"/>
          </w:tcPr>
          <w:p>
            <w:pPr>
              <w:pStyle w:val="TableContents"/>
              <w:bidi w:val="0"/>
              <w:spacing w:before="0" w:after="283"/>
              <w:jc w:val="left"/>
              <w:rPr>
                <w:spacing w:val="4"/>
              </w:rPr>
            </w:pPr>
            <w:r>
              <w:rPr>
                <w:spacing w:val="4"/>
              </w:rPr>
              <w:t xml:space="preserve">Shaler Alias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 w:type="dxa"/>
            <w:tcBorders/>
            <w:tcMar>
              <w:bottom w:w="0" w:type="dxa"/>
            </w:tcMar>
            <w:vAlign w:val="center"/>
          </w:tcPr>
          <w:p>
            <w:pPr>
              <w:pStyle w:val="TableContents"/>
              <w:bidi w:val="0"/>
              <w:spacing w:before="0" w:after="283"/>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7" w:type="dxa"/>
            <w:tcBorders/>
            <w:tcMar>
              <w:bottom w:w="0" w:type="dxa"/>
            </w:tcMar>
            <w:vAlign w:val="center"/>
          </w:tcPr>
          <w:p>
            <w:pPr>
              <w:pStyle w:val="TableContents"/>
              <w:bidi w:val="0"/>
              <w:spacing w:before="0" w:after="283"/>
              <w:jc w:val="left"/>
              <w:rPr>
                <w:spacing w:val="4"/>
              </w:rPr>
            </w:pPr>
            <w:r>
              <w:rPr>
                <w:spacing w:val="4"/>
              </w:rPr>
              <w:t xml:space="preserve">President and Co-Founder, Director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04" w:type="dxa"/>
            <w:tcBorders/>
            <w:shd w:fill="CCCCCC" w:val="clear"/>
            <w:tcMar>
              <w:bottom w:w="0" w:type="dxa"/>
            </w:tcMar>
            <w:vAlign w:val="center"/>
          </w:tcPr>
          <w:p>
            <w:pPr>
              <w:pStyle w:val="TableContents"/>
              <w:bidi w:val="0"/>
              <w:spacing w:before="0" w:after="283"/>
              <w:jc w:val="left"/>
              <w:rPr>
                <w:spacing w:val="4"/>
              </w:rPr>
            </w:pPr>
            <w:r>
              <w:rPr>
                <w:spacing w:val="4"/>
              </w:rPr>
              <w:t xml:space="preserve">Naomi Barnett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55" w:type="dxa"/>
            <w:tcBorders/>
            <w:shd w:fill="CCCCCC" w:val="clear"/>
            <w:tcMar>
              <w:bottom w:w="0" w:type="dxa"/>
            </w:tcMar>
            <w:vAlign w:val="center"/>
          </w:tcPr>
          <w:p>
            <w:pPr>
              <w:pStyle w:val="TableContents"/>
              <w:bidi w:val="0"/>
              <w:spacing w:before="0" w:after="283"/>
              <w:jc w:val="left"/>
              <w:rPr>
                <w:spacing w:val="4"/>
              </w:rPr>
            </w:pPr>
            <w:r>
              <w:rPr>
                <w:spacing w:val="4"/>
              </w:rPr>
              <w:t xml:space="preserve">33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637" w:type="dxa"/>
            <w:tcBorders/>
            <w:shd w:fill="CCCCCC" w:val="clear"/>
            <w:tcMar>
              <w:bottom w:w="0" w:type="dxa"/>
            </w:tcMar>
            <w:vAlign w:val="center"/>
          </w:tcPr>
          <w:p>
            <w:pPr>
              <w:pStyle w:val="TableContents"/>
              <w:bidi w:val="0"/>
              <w:spacing w:before="0" w:after="283"/>
              <w:jc w:val="left"/>
              <w:rPr>
                <w:spacing w:val="4"/>
              </w:rPr>
            </w:pPr>
            <w:r>
              <w:rPr>
                <w:spacing w:val="4"/>
              </w:rPr>
              <w:t xml:space="preserve">Executive Vice President, Human Resources </w:t>
            </w:r>
          </w:p>
        </w:tc>
        <w:tc>
          <w:tcPr>
            <w:tcW w:w="156"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4" w:type="dxa"/>
            <w:tcBorders/>
            <w:tcMar>
              <w:bottom w:w="0" w:type="dxa"/>
            </w:tcMar>
            <w:vAlign w:val="center"/>
          </w:tcPr>
          <w:p>
            <w:pPr>
              <w:pStyle w:val="TableContents"/>
              <w:bidi w:val="0"/>
              <w:spacing w:before="0" w:after="283"/>
              <w:jc w:val="left"/>
              <w:rPr>
                <w:spacing w:val="4"/>
              </w:rPr>
            </w:pPr>
            <w:r>
              <w:rPr>
                <w:spacing w:val="4"/>
              </w:rPr>
              <w:t xml:space="preserve">Alex Cohen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 w:type="dxa"/>
            <w:tcBorders/>
            <w:tcMar>
              <w:bottom w:w="0" w:type="dxa"/>
            </w:tcMar>
            <w:vAlign w:val="center"/>
          </w:tcPr>
          <w:p>
            <w:pPr>
              <w:pStyle w:val="TableContents"/>
              <w:bidi w:val="0"/>
              <w:spacing w:before="0" w:after="283"/>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7" w:type="dxa"/>
            <w:tcBorders/>
            <w:tcMar>
              <w:bottom w:w="0" w:type="dxa"/>
            </w:tcMar>
            <w:vAlign w:val="center"/>
          </w:tcPr>
          <w:p>
            <w:pPr>
              <w:pStyle w:val="TableContents"/>
              <w:bidi w:val="0"/>
              <w:spacing w:before="0" w:after="283"/>
              <w:jc w:val="left"/>
              <w:rPr>
                <w:spacing w:val="4"/>
              </w:rPr>
            </w:pPr>
            <w:r>
              <w:rPr>
                <w:spacing w:val="4"/>
              </w:rPr>
              <w:t xml:space="preserve">Executive Vice President, Corporate Development and Strategy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04"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55" w:type="dxa"/>
            <w:tcBorders/>
            <w:shd w:fill="CCCCCC" w:val="clear"/>
            <w:tcMar>
              <w:bottom w:w="0" w:type="dxa"/>
            </w:tcMar>
            <w:vAlign w:val="center"/>
          </w:tcPr>
          <w:p>
            <w:pPr>
              <w:pStyle w:val="TableContents"/>
              <w:bidi w:val="0"/>
              <w:spacing w:before="0" w:after="283"/>
              <w:jc w:val="left"/>
              <w:rPr>
                <w:spacing w:val="4"/>
              </w:rPr>
            </w:pPr>
            <w:r>
              <w:rPr>
                <w:spacing w:val="4"/>
              </w:rPr>
              <w:t xml:space="preserve">50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637" w:type="dxa"/>
            <w:tcBorders/>
            <w:shd w:fill="CCCCCC" w:val="clear"/>
            <w:tcMar>
              <w:bottom w:w="0" w:type="dxa"/>
            </w:tcMar>
            <w:vAlign w:val="center"/>
          </w:tcPr>
          <w:p>
            <w:pPr>
              <w:pStyle w:val="TableContents"/>
              <w:bidi w:val="0"/>
              <w:spacing w:before="0" w:after="283"/>
              <w:jc w:val="left"/>
              <w:rPr>
                <w:spacing w:val="4"/>
              </w:rPr>
            </w:pPr>
            <w:r>
              <w:rPr>
                <w:spacing w:val="4"/>
              </w:rPr>
              <w:t xml:space="preserve">General Counsel </w:t>
            </w:r>
          </w:p>
        </w:tc>
        <w:tc>
          <w:tcPr>
            <w:tcW w:w="156"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4"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 w:type="dxa"/>
            <w:tcBorders/>
            <w:tcMar>
              <w:bottom w:w="0" w:type="dxa"/>
            </w:tcMar>
            <w:vAlign w:val="center"/>
          </w:tcPr>
          <w:p>
            <w:pPr>
              <w:pStyle w:val="TableContents"/>
              <w:bidi w:val="0"/>
              <w:spacing w:before="0" w:after="283"/>
              <w:jc w:val="left"/>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7" w:type="dxa"/>
            <w:tcBorders/>
            <w:tcMar>
              <w:bottom w:w="0" w:type="dxa"/>
            </w:tcMar>
            <w:vAlign w:val="center"/>
          </w:tcPr>
          <w:p>
            <w:pPr>
              <w:pStyle w:val="TableContents"/>
              <w:bidi w:val="0"/>
              <w:spacing w:before="0" w:after="283"/>
              <w:jc w:val="left"/>
              <w:rPr>
                <w:spacing w:val="4"/>
              </w:rPr>
            </w:pPr>
            <w:r>
              <w:rPr>
                <w:spacing w:val="4"/>
              </w:rPr>
              <w:t xml:space="preserve">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04"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55" w:type="dxa"/>
            <w:tcBorders/>
            <w:shd w:fill="CCCCCC" w:val="clear"/>
            <w:tcMar>
              <w:bottom w:w="0" w:type="dxa"/>
            </w:tcMar>
            <w:vAlign w:val="center"/>
          </w:tcPr>
          <w:p>
            <w:pPr>
              <w:pStyle w:val="TableContents"/>
              <w:bidi w:val="0"/>
              <w:spacing w:before="0" w:after="283"/>
              <w:jc w:val="left"/>
              <w:rPr>
                <w:spacing w:val="4"/>
              </w:rPr>
            </w:pPr>
            <w:r>
              <w:rPr>
                <w:spacing w:val="4"/>
              </w:rPr>
              <w:t xml:space="preserve">36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637" w:type="dxa"/>
            <w:tcBorders/>
            <w:shd w:fill="CCCCCC" w:val="clear"/>
            <w:tcMar>
              <w:bottom w:w="0" w:type="dxa"/>
            </w:tcMar>
            <w:vAlign w:val="center"/>
          </w:tcPr>
          <w:p>
            <w:pPr>
              <w:pStyle w:val="TableContents"/>
              <w:bidi w:val="0"/>
              <w:spacing w:before="0" w:after="283"/>
              <w:jc w:val="left"/>
              <w:rPr>
                <w:spacing w:val="4"/>
              </w:rPr>
            </w:pPr>
            <w:r>
              <w:rPr>
                <w:spacing w:val="4"/>
              </w:rPr>
              <w:t xml:space="preserve">Executive Vice President, Consumer Payments </w:t>
            </w:r>
          </w:p>
        </w:tc>
        <w:tc>
          <w:tcPr>
            <w:tcW w:w="156"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4"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 w:type="dxa"/>
            <w:tcBorders/>
            <w:tcMar>
              <w:bottom w:w="0" w:type="dxa"/>
            </w:tcMar>
            <w:vAlign w:val="center"/>
          </w:tcPr>
          <w:p>
            <w:pPr>
              <w:pStyle w:val="TableContents"/>
              <w:bidi w:val="0"/>
              <w:spacing w:before="0" w:after="283"/>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7"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Naomi Barnett</w:t>
      </w:r>
      <w:r>
        <w:rPr>
          <w:rFonts w:ascii="Times New Roman;Times;serif" w:hAnsi="Times New Roman;Times;serif"/>
          <w:b w:val="false"/>
          <w:i w:val="false"/>
          <w:caps w:val="false"/>
          <w:smallCaps w:val="false"/>
          <w:color w:val="000000"/>
          <w:spacing w:val="4"/>
          <w:sz w:val="20"/>
        </w:rPr>
        <w:t xml:space="preserve"> has served as our Executive Vice President, Human Resources since March 2021. From January 2020 to March 2021, Ms. Barnett served as Vice President, Human Resources for REPAY LLC. Previously, Ms. Barnett served as Director, Human Resources of REPAY LLC from July 2018 to January 2020. Prior to joining REPAY LLC, Ms. Barnett was Director, Head of Human Resources, for Gold Star Mortgage Financial Group from October 2017 to July 2018. From June 2011 to September 2017, Ms. Barnett served in various human resources roles for Patriot National, Inc., including as Assistant Vice President, Human Resources, from May 2016 to September 2017.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Alex Cohen</w:t>
      </w:r>
      <w:r>
        <w:rPr>
          <w:rFonts w:ascii="Times New Roman;Times;serif" w:hAnsi="Times New Roman;Times;serif"/>
          <w:b w:val="false"/>
          <w:i w:val="false"/>
          <w:caps w:val="false"/>
          <w:smallCaps w:val="false"/>
          <w:color w:val="000000"/>
          <w:spacing w:val="4"/>
          <w:sz w:val="20"/>
        </w:rPr>
        <w:t xml:space="preserve"> has served as our Executive Vice President, Corporate Development and Strategy since November 2023. From October 2022 to November 2023, Mr. Cohen served as Senior Vice President, Corporate Development and Strategy for REPAY LLC. From July 2020 to October 2022, Mr. Cohen served as Senior Director, Corporate Development and Strategy for REPAY LLC. Before joining REPAY LLC, Mr. Cohen was a private equity investment professional at CIVC Partners from May 2017 to June 2020, and he was an investment banker at Fidus Partners from June 2014 to May 2017. From July 2013 to July 2014, Mr. Cohen was an assurance associate in the asset management group at Ernst &amp; Young.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Tyler B. Dempsey</w:t>
      </w:r>
      <w:r>
        <w:rPr>
          <w:rFonts w:ascii="Times New Roman;Times;serif" w:hAnsi="Times New Roman;Times;serif"/>
          <w:b w:val="false"/>
          <w:i w:val="false"/>
          <w:caps w:val="false"/>
          <w:smallCaps w:val="false"/>
          <w:color w:val="000000"/>
          <w:spacing w:val="4"/>
          <w:sz w:val="20"/>
        </w:rPr>
        <w:t xml:space="preserve"> has served as our General Counsel since September 2019. Prior to joining us, Mr. Dempsey provided legal counsel and support to REPAY LLC for more than nine years as outside counsel at Troutman Sanders LLP (now Troutman Pepper Hamilton Sanders LLP), where he served as a Partner since 2008. Prior to joining Troutman Sanders, Mr. Dempsey was an attorney at King &amp; Spalding LLP.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Guthrie</w:t>
      </w:r>
      <w:r>
        <w:rPr>
          <w:rFonts w:ascii="Times New Roman;Times;serif" w:hAnsi="Times New Roman;Times;serif"/>
          <w:b w:val="false"/>
          <w:i w:val="false"/>
          <w:caps w:val="false"/>
          <w:smallCaps w:val="false"/>
          <w:color w:val="000000"/>
          <w:spacing w:val="4"/>
          <w:sz w:val="20"/>
        </w:rPr>
        <w:t xml:space="preserve"> has served as our Chief Technology Officer since January 2022. Prior to joining us, Mr. Guthrie was the principal of Guthrie Technology Services, a technology advisory firm he founded in January 2017. During this time, he acted in executive and/or advisory roles for various technology-centric companies, including serving as the Chief Information Officer and Chief Information Security Officer of Sharecare, Inc., with oversight of security, IT systems and M&amp;A assessments. Before establishing Guthrie Technology Services, he served as Executive Vice President and Chief Technology Officer of Premiere Global Services, Inc. (PGi) from February 2003 until December 2016. Earlier in his career, Mr. Guthrie was a member of the founding team of Medcast Networks, which was acquired by WebMD in 1999.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Jacob “Jake” H. Moore</w:t>
      </w:r>
      <w:r>
        <w:rPr>
          <w:rFonts w:ascii="Times New Roman;Times;serif" w:hAnsi="Times New Roman;Times;serif"/>
          <w:b w:val="false"/>
          <w:i w:val="false"/>
          <w:caps w:val="false"/>
          <w:smallCaps w:val="false"/>
          <w:color w:val="000000"/>
          <w:spacing w:val="4"/>
          <w:sz w:val="20"/>
        </w:rPr>
        <w:t xml:space="preserve"> has served as our Executive Vice President, Consumer Payments since October 2022. From March 2020 to October 2022 Mr. Moore served as Executive Vice President, Corporate Development and Strategy. From January 2018 to March 2020, Mr. Moore served as the Head of Corporate Development for REPAY LLC. Previously, Mr. Moore served as Vice President, Corporate Development of REPAY LLC from January 2017 to December 2017. Before joining REPAY LLC, Mr. Moore was a private equity investment professional, serving as a Senior Associate at BlueArc Capital Management from May 2016 to January 2017 and as an Associate at Trinity Hunt Partners from March 2012 to June 2014. From 2010 to 2012, Mr. Moore was an investment banker in the Mergers and Acquisitions Group at SunTrust Robinson Humphrey.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Timothy “Tim” J. Murphy</w:t>
      </w:r>
      <w:r>
        <w:rPr>
          <w:rFonts w:ascii="Times New Roman;Times;serif" w:hAnsi="Times New Roman;Times;serif"/>
          <w:b w:val="false"/>
          <w:i w:val="false"/>
          <w:caps w:val="false"/>
          <w:smallCaps w:val="false"/>
          <w:color w:val="000000"/>
          <w:spacing w:val="4"/>
          <w:sz w:val="20"/>
        </w:rPr>
        <w:t xml:space="preserve"> has served as our Chief Financial Officer since the Business Combination and as Chief Financial Officer of REPAY LLC since January 2014. Mr. Murphy has been a member of the board of directors of Repay Holdings, LLC since September 2016. He oversees our financial operations including accounting, tax, treasury, financial planning, reporting and investor relations. Prior to joining REPAY LLC, Mr. Murphy served as Director of Corporate Development for Amaya Gaming Group Inc. (now known as The Stars Group Inc.), a Canadian online and mobile gaming and interactive entertainment company, from January 2013 to January 2014. Mr. Murphy previously served as Director of Finance for Cadillac Jack, Inc., a company engaged in the design, development, and supply of electronic gaming machines, from August 2009 to December 2012. Mr. Murphy began his professional career as an investment banker at Credit Suisse.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OG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2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established corporate governance practices designed to serve the best interests of Repay and our stockholders. We are in compliance with the current corporate governance requirements imposed by the rules and regulations of the Securities and Exchange Commission (“SEC”) and the listing standards of The Nasdaq Stock Market (“Nasdaq”). Our current Code of Ethics, Corporate Governance Guidelines and charters for the standing committees of the Board are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information regarding the meetings of the Board during 2023, a description of the Board’s standing committees and additional information about our corporate governance policies and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and Meetings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Composition.</w:t>
      </w:r>
      <w:r>
        <w:rPr>
          <w:rFonts w:ascii="Times New Roman;Times;serif" w:hAnsi="Times New Roman;Times;serif"/>
          <w:b w:val="false"/>
          <w:i w:val="false"/>
          <w:caps w:val="false"/>
          <w:smallCaps w:val="false"/>
          <w:color w:val="000000"/>
          <w:spacing w:val="4"/>
          <w:sz w:val="20"/>
        </w:rPr>
        <w:t xml:space="preserve">   Our business affairs are managed under the direction of the Board. The Board currently consists of nine members, seven of whom qualify as independent within the meaning of the independent director guidelines of Nasdaq.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was previously divided into three staggered classes of directors but will be fully declassified as of the date of the 2024 Annual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previously entered into the Founders’ Stockholders Agreement (as defined in this Proxy Statement) that provides the parties thereto with certain director nomination rights. This agreement is described further in this Proxy Statement under “Related Party Transactions — Transactions with Related Persons — Post-Business Combination Agreements.”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officers serve at the discretion of our Board and will hold office until his or her successor is duly appointed and qualified or until his or her earlier resignation or removal. There are no family relationships among any of our directors or officers.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consists of industry veterans and influential leaders in the financial services and payments industries. The table below portrays skills that are relevant to our business and strategy and demonstrates how each of our current directors brings extensive experience, deep industry knowledge, unique expertise and fresh perspective to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067300" cy="341947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15"/>
                    <a:stretch>
                      <a:fillRect/>
                    </a:stretch>
                  </pic:blipFill>
                  <pic:spPr bwMode="auto">
                    <a:xfrm>
                      <a:off x="0" y="0"/>
                      <a:ext cx="5067300" cy="34194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Diversity.</w:t>
      </w:r>
      <w:r>
        <w:rPr>
          <w:rFonts w:ascii="Times New Roman;Times;serif" w:hAnsi="Times New Roman;Times;serif"/>
          <w:b w:val="false"/>
          <w:i w:val="false"/>
          <w:caps w:val="false"/>
          <w:smallCaps w:val="false"/>
          <w:color w:val="000000"/>
          <w:spacing w:val="4"/>
          <w:sz w:val="20"/>
        </w:rPr>
        <w:t xml:space="preserve">   While the Nominating and Corporate Governance Committee has not adopted a formal policy with regard to the consideration of diversity in identifying director nominees, diversity is a key consideration in the director nominee process. In determining whether to recommend a director nominee, the committee members consider and discuss diversity, among other factors, with a view toward the needs of the Board as a whole. The committee members generally conceptualize diversity expansively to include, without limitation, concepts such as race, gender, national origin, differences of viewpoint, professional background, education, skill and other individual qualities and attributes that contribute to the total mix of viewpoints and experience represented on the Board. The Nominating and Corporate Governance Committee believes that the inclusion of diversity as one of many factors considered in selecting director nominees is consistent with the committee’s goal of creating a Board that best serves the needs of the Company and the interests of its stockholders. Each of the categories listed in the below table has the meaning as it is used in Nasdaq Rule 5605(f).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3609975" cy="41052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3609975" cy="41052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Meetings of the Board.</w:t>
      </w:r>
      <w:r>
        <w:rPr>
          <w:rFonts w:ascii="Times New Roman;Times;serif" w:hAnsi="Times New Roman;Times;serif"/>
          <w:b w:val="false"/>
          <w:i w:val="false"/>
          <w:caps w:val="false"/>
          <w:smallCaps w:val="false"/>
          <w:color w:val="000000"/>
          <w:spacing w:val="4"/>
          <w:sz w:val="20"/>
        </w:rPr>
        <w:t xml:space="preserve">   Our Corporate Governance Guidelines provide that directors should be prepared for and attend Board meetings and actively participate in Board discussions. The Board met five times during the fiscal year ended December 31, 2023. During that period, each of the incumbent directors attended at least 75% of the aggregate number of meetings held by the Board and by each of the committees on which such director served. Our Corporate Governance Guidelines provide that directors are encouraged to make every effort to attend the annual meeting of the stockholders. All of our directors serving at the time attended our 2023 Annual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Committees.</w:t>
      </w:r>
      <w:r>
        <w:rPr>
          <w:rFonts w:ascii="Times New Roman;Times;serif" w:hAnsi="Times New Roman;Times;serif"/>
          <w:b w:val="false"/>
          <w:i w:val="false"/>
          <w:caps w:val="false"/>
          <w:smallCaps w:val="false"/>
          <w:color w:val="000000"/>
          <w:spacing w:val="4"/>
          <w:sz w:val="20"/>
        </w:rPr>
        <w:t xml:space="preserve">   Our Board has an Audit Committee, Compensation Committee, Nominating and Corporate Governance Committee and Technology Committee. The composition and responsibilities of each of the committees of our Board is described below. Members will serve on these committees until their resignation or until as otherwise determined by our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Committee</w:t>
      </w:r>
      <w:r>
        <w:rPr>
          <w:rFonts w:ascii="Times New Roman;Times;serif" w:hAnsi="Times New Roman;Times;serif"/>
          <w:b w:val="false"/>
          <w:i w:val="false"/>
          <w:caps w:val="false"/>
          <w:smallCaps w:val="false"/>
          <w:color w:val="000000"/>
          <w:spacing w:val="4"/>
          <w:sz w:val="20"/>
        </w:rPr>
        <w:t xml:space="preserve">.   The Audit Committee operates under a written charter, a copy of which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The committee is responsible for, among other things: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selecting a qualified firm to serve as the independent registered public accounting firm to audit our financial statements; </w:t>
      </w:r>
      <w:r>
        <mc:AlternateContent>
          <mc:Choice Requires="wps">
            <w:drawing>
              <wp:anchor behindDoc="0" distT="825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44"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helping to ensure the independence and performance of the independent registered public accounting firm; </w:t>
      </w:r>
      <w:r>
        <mc:AlternateContent>
          <mc:Choice Requires="wps">
            <w:drawing>
              <wp:anchor behindDoc="0" distT="8255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45"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the scope and results of the audit with the independent registered public accounting firm and reviewing, with management and the independent registered public accounting firm, our interim and year-end financial statements; </w:t>
      </w:r>
      <w:r>
        <mc:AlternateContent>
          <mc:Choice Requires="wps">
            <w:drawing>
              <wp:anchor behindDoc="0" distT="8255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46"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procedures for employees to submit concerns anonymously about questionable accounting or audit matters; </w:t>
      </w:r>
      <w:r>
        <mc:AlternateContent>
          <mc:Choice Requires="wps">
            <w:drawing>
              <wp:anchor behindDoc="0" distT="8255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47"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policies on and oversees risk assessment and risk management, including enterprise risk management;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48"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adequacy and effectiveness of internal control policies and procedures and our disclosure controls and procedures; and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49"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or, as required, pre-approving all audit and all permissible non-audit services, other than de minimis non-audit services, to be performed by the independent registered public accounting firm.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50"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met four times during the fiscal year ended December 31, 2023. The current members of the Audit Committee are Paul R. Garcia, Robert H. Hartheimer and Emnet Rios. Robert H. Hartheimer serves as chairperson of the Audit Committee. Each of the members of our Audit Committee satisfy the requirements for independence and financial literacy under the applicable rules and regulations of the SEC and rules of Nasdaq. The Board has determined that Mr. Hartheimer is an “audit committee financial expert,” as that term is defined in SEC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The Compensation Committee operates under a written charter, a copy of which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The committee is responsible for,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approving and determining the compensation of our officers and key employees;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51"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approving and determining the compensation and benefits, including equity awards, to directors for service on our Board or any committee thereof;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2"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our equity compensation plans;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53"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approving and making recommendations to our Board regarding incentive compensation and equity compensation plans;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54"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and reviewing general policies relating to compensation and benefits of our employees; and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55"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employee relations and retention efforts and our general human capital management.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56"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met five times during the fiscal year ended December 31, 2023. The current members of the Compensation Committee are Paul R. Garcia, William Jacobs and Richard E. Thornburgh. William Jacobs serves as chairperson of the Compensation Committee. Each of the members of our Compensation Committee meet the requirements for independence under the under the applicable rules and regulations of the SEC and rules of Nasdaq. For more information on the Compensation Committee, see “— Corporate Governance Policies — Consideration and Determination of Executive and Director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Nominating and Corporate Governance Committee</w:t>
      </w:r>
      <w:r>
        <w:rPr>
          <w:rFonts w:ascii="Times New Roman;Times;serif" w:hAnsi="Times New Roman;Times;serif"/>
          <w:b w:val="false"/>
          <w:i w:val="false"/>
          <w:caps w:val="false"/>
          <w:smallCaps w:val="false"/>
          <w:color w:val="000000"/>
          <w:spacing w:val="4"/>
          <w:sz w:val="20"/>
        </w:rPr>
        <w:t xml:space="preserve">.   The Nominating and Corporate Governance Committee operates under a written charter, a copy of which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The committee is responsible for,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evaluating and selecting, or making recommendations to the Board regarding, nominees for election to the Board and its committees;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57"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Board and of individual directors;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58"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and making recommendations to our Board regarding the composition of our Board and its committees;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59"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developments in corporate governance practices;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60"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adequacy of the corporate governance practices and reporting, including our corporate sustainability practices described below;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61"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related person transactions; and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62"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making recommendations to our Board regarding corporate governance guidelines and matters.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63"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Governance Guidelines provide that the Nominating and Corporate Governance Committee shall work with the Board to determine periodically, as appropriate, the desired Board qualifications, expertise and characteristics, including such factors as business experience and diversity. In evaluating and determining whether to ultimately recommend a person as a candidate for election as a director, the Nominating and Corporate Governance Committee evaluates all factors that it deems appropriate, including the number of current directors, the terms of the stockholder agreements, as well as the qualifications set forth in our Corporate Governance Guidelines. It also takes into account specific characteristics and expertise that it believes will enhance the diversity of knowledge, expertise, background and personal characteristics of our Board. Each director is expected to be an individual of high character, mature judgment and integrity. In determining whether to recommend a director for re-election, the Nominating and Corporate Governance Committee also considers matters relating to the retirement of members, including term limits or age limits, as well as the director’s past attendance at meetings, participation in and contributions to the activities of the Board and Repay and other qualifications and characteristics set forth in the committee’s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may engage a third party to conduct or assist with any evaluation of a Board candidacy. Ultimately, the Nominating and Corporate Governance Committee seeks to recommend to our Board those nominees whose specific qualities, experience and expertise will augment the current Board’s composition and whose past experience evidences that they will: (i) dedicate sufficient time, energy and attention to ensure the diligent performance of Board duties; (ii) comply with the duties and responsibilities set forth in our Corporate Governance Guidelines and in our bylaws; (iii) comply with all duties of care, loyalty and confidentiality applicable to them as directors of publicly traded corporations organized in Delaware; and (iv) adhere to our Code of Ethics.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will also consider recommendations of qualified nominees by stockholders on a substantially similar basis as it considers other nominees. If any stockholder wishes to recommend candidates directly to our Nominating and Corporate Governance Committee, such stockholder may do so by sending timely notice to the Secretary and otherwise in accordance with the terms of our bylaws and as described in “Stockholder Proposals” below. Such stockholder’s notice shall set forth certain information about the stockholder giving the notice and the nominee and other representations and certifications as set forth in our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met three times during the fiscal year ended December 31, 2023. The current members of the Nominating and Corporate Governance Committee are William Jacobs, Peter J. Kight and Richard E. Thornburgh. Peter J. Kight serves as chairperson of the Nominating and Corporate Governance Committee. Each of the members of the Nominating and Corporate Governance Committee meet the requirements for independence under the applicable rules of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Technology Committee</w:t>
      </w:r>
      <w:r>
        <w:rPr>
          <w:rFonts w:ascii="Times New Roman;Times;serif" w:hAnsi="Times New Roman;Times;serif"/>
          <w:b w:val="false"/>
          <w:i w:val="false"/>
          <w:caps w:val="false"/>
          <w:smallCaps w:val="false"/>
          <w:color w:val="000000"/>
          <w:spacing w:val="4"/>
          <w:sz w:val="20"/>
        </w:rPr>
        <w:t xml:space="preserve">.   The Technology Committee operates under a written charter, a copy of which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Under the charter, the committee is responsible for, among other things: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managing the risks associated with information technology, information and data security, cybersecurity, data privacy, disaster recovery and business continuity;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64"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guidelines, policies, controls and procedures for monitoring and mitigating such technology risks;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65"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technology risk reports with management with respect to corrective actions for deficiencies; </w:t>
      </w:r>
      <w:r>
        <mc:AlternateContent>
          <mc:Choice Requires="wps">
            <w:drawing>
              <wp:anchor behindDoc="0" distT="673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66"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and making recommendations to our Board regarding, the effectiveness of our risk assessment processes; and </w:t>
      </w:r>
      <w:r>
        <mc:AlternateContent>
          <mc:Choice Requires="wps">
            <w:drawing>
              <wp:anchor behindDoc="0" distT="673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67"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our Board regarding, our technology strategy, budget and key initiatives, and our technology position relative to our competitors. </w:t>
      </w:r>
      <w:r>
        <mc:AlternateContent>
          <mc:Choice Requires="wps">
            <w:drawing>
              <wp:anchor behindDoc="0" distT="6731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68"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Technology Committee met four times during the fiscal year ended December 31, 2023. The current members of the Technology Committee are Maryann Goebel, Peter J. Kight and Emnet Rios. Maryann Goebel serves as chairperson of the Technology Committee. Each of the members of our Technology Committee meet the requirements for independence under the under the applicable rules of Nasdaq.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Mses. Goebel and Rios and Messrs. Hartheimer, Jacobs, Thornburgh, Kight and Garcia are “independent directors” as defined under the listing requirements and rules of Nasdaq and the applicable rules of the Exchange Act. Messrs. Morris and Alias are not considered independent.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corporate governance matters described throughout this Proxy Statement, some additional information about our corporate governance policies and procedures is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Code of Ethics</w:t>
      </w:r>
      <w:r>
        <w:rPr>
          <w:rFonts w:ascii="Times New Roman;Times;serif" w:hAnsi="Times New Roman;Times;serif"/>
          <w:b w:val="false"/>
          <w:i w:val="false"/>
          <w:caps w:val="false"/>
          <w:smallCaps w:val="false"/>
          <w:color w:val="000000"/>
          <w:spacing w:val="4"/>
          <w:sz w:val="20"/>
        </w:rPr>
        <w:t xml:space="preserve">.   Our Code of Ethics, which we refer to as the “Code of Ethics,” applies to all of our directors, officers and employees. The Code of Ethics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We intend to post any amendments to or any waivers from a provision of our Code of Ethics on our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Corporate Governance Guidelines</w:t>
      </w:r>
      <w:r>
        <w:rPr>
          <w:rFonts w:ascii="Times New Roman;Times;serif" w:hAnsi="Times New Roman;Times;serif"/>
          <w:b w:val="false"/>
          <w:i w:val="false"/>
          <w:caps w:val="false"/>
          <w:smallCaps w:val="false"/>
          <w:color w:val="000000"/>
          <w:spacing w:val="4"/>
          <w:sz w:val="20"/>
        </w:rPr>
        <w:t xml:space="preserve">.   Our Board adopted the Repay Corporate Governance Guidelines, which give effect to Nasdaq’s requirements related to corporate governance and various other corporate governance matters. The Corporate Governance Guidelines reflect the Board’s commitment to effective corporate governance of Repay, with a view to enhancing long-term stockholder value. Topics addressed in the Corporate Governance Guidelines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role and responsibility of the Board;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69"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independence of the Board;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70"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qualifications;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71"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committees of the Board;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72"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orientation and continuing education;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73"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of directors;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74"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other board service;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5"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succession planning;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6"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evaluation of Board performance; and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77"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communications with stockholders.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78"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Corporate Governance Guidelines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 Management</w:t>
      </w:r>
      <w:r>
        <w:rPr>
          <w:rFonts w:ascii="Times New Roman;Times;serif" w:hAnsi="Times New Roman;Times;serif"/>
          <w:b w:val="false"/>
          <w:i w:val="false"/>
          <w:caps w:val="false"/>
          <w:smallCaps w:val="false"/>
          <w:color w:val="000000"/>
          <w:spacing w:val="4"/>
          <w:sz w:val="20"/>
        </w:rPr>
        <w:t xml:space="preserve">.   Our management is responsible for day-to-day risk management of the company, subject to oversight by the Board and its committees with regard to the major risks inherent in our business, including strategic, regulatory, compliance, operational, financial, reputational and cybersecurity risks, and the efforts of management to address and mitigate such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its committees maintain an active role in risk oversight. The Board receives regular reports concerning our risk assessment and risk management from the Audit Committee, which meets periodically with our independent auditors, with our General Counsel and with management, to discuss the Company’s major financial risk exposures and the steps that management has taken to monitor and control such exposures. In addition to receiving regular reports from the Audit Committee related to financial risk exposures, the Board also reviews information regarding other risks through regular reports of its other committees, including information regarding compensation related risk from the Compensation Committee, governance related risk from the Nominating and Corporate Governance Committee and cybersecurity related risk from the Technology Committee. Risks related to environmental, social and governance matters are covered by each of our committees as appropriate, as described below under “Environmental, Social and Governance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division of risk management responsibilities described above is an effective approach for addressing the risks that we face.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Executive Sessions of Independent Directors</w:t>
      </w:r>
      <w:r>
        <w:rPr>
          <w:rFonts w:ascii="Times New Roman;Times;serif" w:hAnsi="Times New Roman;Times;serif"/>
          <w:b w:val="false"/>
          <w:i w:val="false"/>
          <w:caps w:val="false"/>
          <w:smallCaps w:val="false"/>
          <w:color w:val="000000"/>
          <w:spacing w:val="4"/>
          <w:sz w:val="20"/>
        </w:rPr>
        <w:t xml:space="preserve">.   Our Corporate Governance Guidelines provide that the independent directors shall meet in executive session on a periodic basis but no less than twice per year. At executive sessions, our independent directors meet without management or any affiliated directors present. The Board believes that executive sessions foster free and open communication among the independent directors, which will ultimately add to the effectiveness of the Board,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and Determination of Executive and Director Compensation.</w:t>
      </w:r>
      <w:r>
        <w:rPr>
          <w:rFonts w:ascii="Times New Roman;Times;serif" w:hAnsi="Times New Roman;Times;serif"/>
          <w:b w:val="false"/>
          <w:i w:val="false"/>
          <w:caps w:val="false"/>
          <w:smallCaps w:val="false"/>
          <w:color w:val="000000"/>
          <w:spacing w:val="4"/>
          <w:sz w:val="20"/>
        </w:rPr>
        <w:t xml:space="preserve">   The Compensation Committee has the primary authority to determine our compensation philosophy and to establish compensation for our executive officers. In establishing executive officer compensation, the Compensation Committee uses its subjective evaluation of the executives’ performance and responsibilities, our overall performance and the Chief Executive Officer’s recommendations. In addition, the Compensation Committee has engaged an independent compensation consultant to advise regarding the status of Repay’s executive officer compensation in relation to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Compensation Committee may invite to its meetings any director, member of management and such other persons as it deems appropriate in order to carry out its responsibilities. Typically, Mr. Morris reviews the performance of senior management and make recommendations on compensation levels of our executive officers (other than himself), Mr. Dempsey advises the Compensation Committee on legal matters and prepares documents for the Compensation Committee’s consideration, and Ms. Barnett provides the Compensation Committee with details with respect to the operation of Repay’s various compensation and benefit plans. In addition, these officers answer questions posed by the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adopted the Repay Holdings Corporation Equity Award Grant Policy (the “Award Grant Policy”) which establishes guidelines for the granting of stock options, restricted stock awards, restricted stock units and other equity incentive awards. Under the policy, the Board has delegated authority to Repay’s Chief Executive Officer to grant equity awards to employees other than executive officers, subject to the written guidelines set forth in the Award Grant Policy.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Corporate Governance Guidelines, the compensation of independent directors is determined by the Board upon recommendation of the Compensation Committee. The guidelines further provide that non-employee directors are expected to receive a meaningful portion of their annual retainer in the form of equity. Employee directors are not paid additional compensation for their services as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Short Sales or Speculative Transactions by All Directors and Employees (Anti-Hedging/</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Anti-Pledging)</w:t>
      </w:r>
      <w:r>
        <w:rPr>
          <w:rFonts w:ascii="Times New Roman;Times;serif" w:hAnsi="Times New Roman;Times;serif"/>
          <w:b w:val="false"/>
          <w:i w:val="false"/>
          <w:caps w:val="false"/>
          <w:smallCaps w:val="false"/>
          <w:color w:val="000000"/>
          <w:spacing w:val="4"/>
          <w:sz w:val="20"/>
        </w:rPr>
        <w:t xml:space="preserve">.   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insider trading policy, our executive officers may only trade our securities during certain designated periods, as set out in our insider trading policy, and must obtain pre-clearance and approval prior to any transaction. All executive officers and directors are in compliance with this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Committee Authority to Retain Independent Advisors</w:t>
      </w:r>
      <w:r>
        <w:rPr>
          <w:rFonts w:ascii="Times New Roman;Times;serif" w:hAnsi="Times New Roman;Times;serif"/>
          <w:b w:val="false"/>
          <w:i w:val="false"/>
          <w:caps w:val="false"/>
          <w:smallCaps w:val="false"/>
          <w:color w:val="000000"/>
          <w:spacing w:val="4"/>
          <w:sz w:val="20"/>
        </w:rPr>
        <w:t xml:space="preserve">.   The charter of each of the Audit Committee, the Nominating and Corporate Governance Committee, the Compensation Committee and the Technology Committee provides that the committee has the authority to retain independent advisors, counsel, experts and consultants, with all fees and expenses paid by Repay.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Leadership Structure</w:t>
      </w:r>
      <w:r>
        <w:rPr>
          <w:rFonts w:ascii="Times New Roman;Times;serif" w:hAnsi="Times New Roman;Times;serif"/>
          <w:b w:val="false"/>
          <w:i w:val="false"/>
          <w:caps w:val="false"/>
          <w:smallCaps w:val="false"/>
          <w:color w:val="000000"/>
          <w:spacing w:val="4"/>
          <w:sz w:val="20"/>
        </w:rPr>
        <w:t xml:space="preserve">.   Our current Board leadership structure separates the positions of Chief Executive Officer and Chairperson of the Board, although we do not have a corporate policy requiring that structure. The Board believes that this separation is appropriate for the Company at this time because it allows for a division of responsibilities and a sharing of ideas between individuals having different perspectives. Our Chief Executive Officer, who is also a member of our Board, is primarily responsible for our operations and strategic direction, while our Board Chairperson, who is an independent member of the Board, is primarily focused on matters pertaining to corporate governance, including management oversight and strategic guidance. The Board believes that this is the most appropriate structure at this time but will make future determinations regarding whether or not to separate the roles of Chair and Chief Executive Officer based on then-current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our Corporate Governance Guidelines, when the Chairperson of the Board is also the Chief Executive Officer or is a director who does not otherwise qualify as an “independent director,” a “Lead Director” shall be elected annually by plurality vote of the independent directors, pursuant to a secret ballot, following nomination by the Nominating and Corporate Governance Committee. The Lead Director would help coordinate efforts of the independent and non-management directors in the interest of ensuring that objective judgment is brought to bear on sensitive issues involving the management of the Company and, in particular, the performance of senior management. A description of the position of Lead Director is set forth in Annex A to our Corporate Governance Guidelines, which is available on our investor website at </w:t>
      </w:r>
      <w:r>
        <w:rPr>
          <w:rFonts w:ascii="Times New Roman;Times;serif" w:hAnsi="Times New Roman;Times;serif"/>
          <w:b w:val="false"/>
          <w:i/>
          <w:caps w:val="false"/>
          <w:smallCaps w:val="false"/>
          <w:color w:val="000000"/>
          <w:spacing w:val="4"/>
          <w:sz w:val="20"/>
        </w:rPr>
        <w:t>investors.repay.com</w:t>
      </w:r>
      <w:r>
        <w:rPr>
          <w:rFonts w:ascii="Times New Roman;Times;serif" w:hAnsi="Times New Roman;Times;serif"/>
          <w:b w:val="false"/>
          <w:i w:val="false"/>
          <w:caps w:val="false"/>
          <w:smallCaps w:val="false"/>
          <w:color w:val="000000"/>
          <w:spacing w:val="4"/>
          <w:sz w:val="20"/>
        </w:rPr>
        <w:t xml:space="preserve"> under the heading “Corporate Governance.” Currently, John Morris serves as our Chief Executive Officer, and the independent Chairman position is held by Peter J. Kight. Therefore, we do not currently have a Lead Director. We believe that the current structure of our Board and its committees provides strong overall management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Policy for Director Attendance at Annual Meetings.</w:t>
      </w:r>
      <w:r>
        <w:rPr>
          <w:rFonts w:ascii="Times New Roman;Times;serif" w:hAnsi="Times New Roman;Times;serif"/>
          <w:b w:val="false"/>
          <w:i w:val="false"/>
          <w:caps w:val="false"/>
          <w:smallCaps w:val="false"/>
          <w:color w:val="000000"/>
          <w:spacing w:val="4"/>
          <w:sz w:val="20"/>
        </w:rPr>
        <w:t xml:space="preserve">   Under our Corporate Governance Guidelines, each director is expected to make every effort to attend each Annual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Process for Stockholders to Send Communications to the Board.</w:t>
      </w:r>
      <w:r>
        <w:rPr>
          <w:rFonts w:ascii="Times New Roman;Times;serif" w:hAnsi="Times New Roman;Times;serif"/>
          <w:b w:val="false"/>
          <w:i w:val="false"/>
          <w:caps w:val="false"/>
          <w:smallCaps w:val="false"/>
          <w:color w:val="000000"/>
          <w:spacing w:val="4"/>
          <w:sz w:val="20"/>
        </w:rPr>
        <w:t xml:space="preserve">   Our Corporate Governance Guidelines provide that any stockholder who wishes to communicate with, or otherwise make his or her concerns known directly to the chairperson of any of the committees, or to the non-management or independent directors as a group, may do so by (1) addressing such communications or concerns to the Secretary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West Paces Ferry Road, Suite 200, Atlanta, Georgia 30305, who will forward such communications to the appropriate party, or (2) sending an e-mail to </w:t>
      </w:r>
      <w:r>
        <w:rPr>
          <w:rFonts w:ascii="Times New Roman;Times;serif" w:hAnsi="Times New Roman;Times;serif"/>
          <w:b w:val="false"/>
          <w:i/>
          <w:caps w:val="false"/>
          <w:smallCaps w:val="false"/>
          <w:color w:val="000000"/>
          <w:spacing w:val="4"/>
          <w:sz w:val="20"/>
        </w:rPr>
        <w:t>corpsecretary@repay.com</w:t>
      </w:r>
      <w:r>
        <w:rPr>
          <w:rFonts w:ascii="Times New Roman;Times;serif" w:hAnsi="Times New Roman;Times;serif"/>
          <w:b w:val="false"/>
          <w:i w:val="false"/>
          <w:caps w:val="false"/>
          <w:smallCaps w:val="false"/>
          <w:color w:val="000000"/>
          <w:spacing w:val="4"/>
          <w:sz w:val="20"/>
        </w:rPr>
        <w:t xml:space="preserve">. Such communications may be done confidentially or anonymously.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Sustainability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corporate responsibility is deeply woven into our company culture and good governance at all levels provides a strong foundation for supporting and promoting the long-term interests of our stockholders. Our corporate sustainability initiatives have been guided by our desire to achieve operational excellence, generate long-term value for our stockholders, provide a good working environment for our employees and have a positive impact in our communities.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plays a very important role in our sustainability governance, providing oversight of the strategy, operations, risks and management of the Company. The Nominating and Corporate Governance Committee is chartered with overall oversight of our strategy on corporate social responsibility and sustainability matters and approach, including related risks. We also have a Sustainability Working Group, consisting of internal and external resources, to assess the corporate sustainability factors related to our business. The Nominating and Corporate Governance Committee regularly engages with the Sustainability Working Group and executive management as corporate sustainability initiatives are identified and implemented. The Board maintains transparent communication with the Sustainability Working Group and the executive management team and receives regular updates and reports from the Nominating and Corporate Governance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we grow and as corporate sustainability best practices evolve, we regularly evaluate our approach. Together with our executive management team, the Sustainability Working Group analyzes our business and identifies relevant sustainability factors for evaluation and disclosure. The analysis includes dialogue with certain of our institutional stockholders and review of the practices of our peer companies. We typically publicly release an annual Corporate Sustainability Report, which discusses our social responsibility and sustainability programs and practices. In June 2023, we provided an annual updated report that included detailed disclosures across our sustainability initiatives and continued to demonstrate alignment with the Sustainability Accounting Standards Board (SASB) Standards. A copy of our current Corporate Sustainability Report is available on the “Investors” page of our website, </w:t>
      </w:r>
      <w:r>
        <w:rPr>
          <w:rFonts w:ascii="Times New Roman;Times;serif" w:hAnsi="Times New Roman;Times;serif"/>
          <w:b w:val="false"/>
          <w:i/>
          <w:caps w:val="false"/>
          <w:smallCaps w:val="false"/>
          <w:color w:val="000000"/>
          <w:spacing w:val="4"/>
          <w:sz w:val="20"/>
        </w:rPr>
        <w:t>www.repay.com</w:t>
      </w:r>
      <w:r>
        <w:rPr>
          <w:rFonts w:ascii="Times New Roman;Times;serif" w:hAnsi="Times New Roman;Times;serif"/>
          <w:b w:val="false"/>
          <w:i w:val="false"/>
          <w:caps w:val="false"/>
          <w:smallCaps w:val="false"/>
          <w:color w:val="000000"/>
          <w:spacing w:val="4"/>
          <w:sz w:val="20"/>
        </w:rPr>
        <w:t xml:space="preserve">, under the “Corporate Governance” tab.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plan to provide another update to the report at or around the time of the Annual Meeting in which we plan to highlight our sustainability-related developments in 2023 and to continue to ensure transparency in our approach to governing these matters. We will continue to evolve our corporate sustainability program in a manner that is beneficial to the Company and our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Evaluation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a continuous evaluation process allows it to assess its effectiveness and proactively identify gaps in desired skills and attributes represented on the Board. All of our directors must annually complete a form of directors’ and officers’ questionnaire, which ultimately enables the Board to enhance its overall effectiveness. Through the questionnaire, each director provides information that helps the Board verify and determine their independence, financial literacy, risk management experience, beneficial ownership interest of the Company’s outstanding common stock, and any possible conflict of interest in relation to the Company or its business. The contents of these questionnaires are reviewed by the Nominating and Corporate Governance Committee and summarized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the Nominating and Corporate Governance Committee oversees a self-assessment process for the Board as a whole and each committee. Typically, each director is required to complete and submit an anonymous self-assessment questionnaire, which contains a series of statements that are designed to obtain the director’s opinions and comments regarding his or her individual performance and the performance of the Board and the committee(s) on which he or she serves. Alternatively, the self-assessment process has been conducted through an individual interview between our non-executive Chairman and each director. The results of the self-assessments are reviewed by the Nominating and Corporate Governance Committee and the other respective committees, and then discussed by the Board in executive session.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OA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Notwithstanding anything to the contrary set forth in any of Repay’s filings under the Securities Act of 1933, as amended (the “Securities Act”), or the Exchange Act that might incorporate by reference this Proxy Statement, in whole or in part, the following report shall not be incorporated by reference into any such filings.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oversees our financial reporting process on behalf of the Board. The Audit Committee operates under a written charter, a copy of which is available on the “Investors” page of our website, www.repay.com, under the “Corporate Governance” tab. This report reviews the actions taken by the Audit Committee with regard to our financial reporting process during fiscal 2023 and particularly with regard to the audited consolidated financial statements as of December 31, 2023 and December 31, 2022 and for the three years ended December 31, 2023.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composed solely of independent directors. None of the committee members is or has been an officer or employee of the Company or any of our subsidiaries or has any current business or any family relationship with the Company or any of our subsidiaries or affiliates.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the primary responsibility for the financial statements and reporting process, including the systems of internal controls. The independent auditors are responsible for performing an independent audit of our consolidated financial statements in accordance with auditing standards generally accepted in the United States and issuing a report thereon. The Audit Committee’s responsibility is to monitor and oversee these processes and to select annually the accountants to serve as our independent auditors for the coming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implemented procedures to ensure that during the course of each fiscal year it devotes the attention that it deems necessary or appropriate to fulfill its oversight responsibilities under the Audit Committee’s charter. To carry out its responsibilities, the Audit Committee met four times during the year ended December 31, 2023.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fulfilling its oversight responsibilities, the Audit Committee reviewed and discussed with management the audited consolidated financial statements in our Annual Report on Form 10-K for the year ended December 31, 2023, including a discussion of the quality, rather than just the acceptability, of the accounting principles, the reasonableness of significant judgments and the clarity of disclosures in the financial statements.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also discussed with the independent auditors, who are responsible for expressing an opinion on the conformity of those audited consolidated financial statements with accounting principles generally accepted in the United States, their judgments as to the quality, rather than just the acceptability, of our accounting principles and such other matters as are required to be discussed with the Audit Committee under the applicable requirements of the Public Company Accounting Oversight Board (“PCAOB”) and the SEC. The Audit Committee also reviewed and discussed with the independent auditors the critical audit matters arising from the current period audit of the financial statements that were communicated or required to be communicated to the Audit Committee and that (1) relate to accounts or disclosures that are material to the consolidated financial statements, and (2) involved the auditor’s especially challenging, subjective or complex judgments. In addition, the Audit Committee discussed with the auditors their independence from management and the Company, including the matters in the written disclosures and the letter required by the PCAOB regarding the independent auditors’ communications with the Audit Committee regarding independence. The Audit Committee also considered whether the provision of services during the fiscal year ended December 31, 2023 by the auditors that were unrelated to their audit of the consolidated financial statements referred to above and to their reviews of our interim consolidated financial statements during the fiscal year is compatible with maintaining their independence.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Audit Committee discussed with the independent auditors the overall scope and plan for their audit. The Audit Committee met with the independent auditors, with and without management present, to discuss the results of their examination, their evaluation of our internal controls and the overall quality of our financial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reliance on the reviews and discussions referred to above, the Audit Committee recommended to the Board that the audited consolidated financial statements be included in our Annual Report on Form 10-K for the year ended December 31, 2023 for filing with the SEC.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Submitted by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H. Hartheimer, Chairperson </w:t>
        <w:br/>
        <w:t xml:space="preserve">Paul R. Garcia </w:t>
        <w:br/>
        <w:t>Emnet Rios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DAA"/>
      <w:bookmarkEnd w:id="9"/>
      <w:r>
        <w:rPr>
          <w:rFonts w:ascii="calibri;arial;sans-serif" w:hAnsi="calibri;arial;sans-serif"/>
          <w:b w:val="false"/>
          <w:i w:val="false"/>
          <w:caps w:val="false"/>
          <w:smallCaps w:val="false"/>
          <w:color w:val="000000"/>
          <w:sz w:val="16"/>
        </w:rPr>
        <w:t>​</w:t>
      </w:r>
      <w:bookmarkStart w:id="10" w:name="tEXSU"/>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(“CD&amp;A”) outlines our compensation programs, practices and objectives for our 2023 named executive officers (“NEOs”) listed below and discusses how the Compensation Committee arrived at the compensation decisions for 2023. </w:t>
      </w:r>
    </w:p>
    <w:tbl>
      <w:tblPr>
        <w:tblW w:w="7526" w:type="dxa"/>
        <w:jc w:val="left"/>
        <w:tblInd w:w="1393" w:type="dxa"/>
        <w:tblLayout w:type="fixed"/>
        <w:tblCellMar>
          <w:top w:w="0" w:type="dxa"/>
          <w:left w:w="0" w:type="dxa"/>
          <w:bottom w:w="28" w:type="dxa"/>
          <w:right w:w="0" w:type="dxa"/>
        </w:tblCellMar>
      </w:tblPr>
      <w:tblGrid>
        <w:gridCol w:w="124"/>
        <w:gridCol w:w="2059"/>
        <w:gridCol w:w="109"/>
        <w:gridCol w:w="109"/>
        <w:gridCol w:w="4971"/>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059" w:type="dxa"/>
            <w:tcBorders>
              <w:bottom w:val="single" w:sz="2" w:space="0" w:color="000000"/>
            </w:tcBorders>
            <w:shd w:fill="FFFFFF" w:val="clear"/>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4971" w:type="dxa"/>
            <w:tcBorders>
              <w:bottom w:val="single" w:sz="2" w:space="0" w:color="000000"/>
            </w:tcBorders>
            <w:shd w:fill="FFFFFF" w:val="clear"/>
            <w:tcMar>
              <w:bottom w:w="50" w:type="dxa"/>
            </w:tcMar>
            <w:vAlign w:val="center"/>
          </w:tcPr>
          <w:p>
            <w:pPr>
              <w:pStyle w:val="TableContents"/>
              <w:bidi w:val="0"/>
              <w:spacing w:before="0" w:after="0"/>
              <w:jc w:val="left"/>
              <w:rPr>
                <w:spacing w:val="-3"/>
              </w:rPr>
            </w:pPr>
            <w:r>
              <w:rPr>
                <w:spacing w:val="-3"/>
              </w:rPr>
              <w:t xml:space="preserve">Title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4971" w:type="dxa"/>
            <w:tcBorders/>
            <w:shd w:fill="CCCCCC" w:val="clear"/>
            <w:tcMar>
              <w:bottom w:w="0" w:type="dxa"/>
            </w:tcMar>
            <w:vAlign w:val="center"/>
          </w:tcPr>
          <w:p>
            <w:pPr>
              <w:pStyle w:val="TableContents"/>
              <w:bidi w:val="0"/>
              <w:spacing w:before="0" w:after="283"/>
              <w:jc w:val="left"/>
              <w:rPr>
                <w:spacing w:val="4"/>
              </w:rPr>
            </w:pPr>
            <w:r>
              <w:rPr>
                <w:spacing w:val="4"/>
              </w:rPr>
              <w:t xml:space="preserve">Chief Executive Officer (“CEO”) </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1"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4971" w:type="dxa"/>
            <w:tcBorders/>
            <w:shd w:fill="CCCCCC" w:val="clear"/>
            <w:tcMar>
              <w:bottom w:w="0" w:type="dxa"/>
            </w:tcMar>
            <w:vAlign w:val="center"/>
          </w:tcPr>
          <w:p>
            <w:pPr>
              <w:pStyle w:val="TableContents"/>
              <w:bidi w:val="0"/>
              <w:spacing w:before="0" w:after="283"/>
              <w:jc w:val="left"/>
              <w:rPr>
                <w:spacing w:val="4"/>
              </w:rPr>
            </w:pPr>
            <w:r>
              <w:rPr>
                <w:spacing w:val="4"/>
              </w:rPr>
              <w:t xml:space="preserve">General Counsel </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1" w:type="dxa"/>
            <w:tcBorders/>
            <w:tcMar>
              <w:bottom w:w="0" w:type="dxa"/>
            </w:tcMar>
            <w:vAlign w:val="center"/>
          </w:tcPr>
          <w:p>
            <w:pPr>
              <w:pStyle w:val="TableContents"/>
              <w:bidi w:val="0"/>
              <w:spacing w:before="0" w:after="283"/>
              <w:jc w:val="left"/>
              <w:rPr>
                <w:spacing w:val="4"/>
              </w:rPr>
            </w:pPr>
            <w:r>
              <w:rPr>
                <w:spacing w:val="4"/>
              </w:rPr>
              <w:t xml:space="preserve">Chief Technology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4971" w:type="dxa"/>
            <w:tcBorders/>
            <w:shd w:fill="CCCCCC" w:val="clear"/>
            <w:tcMar>
              <w:bottom w:w="0" w:type="dxa"/>
            </w:tcMar>
            <w:vAlign w:val="center"/>
          </w:tcPr>
          <w:p>
            <w:pPr>
              <w:pStyle w:val="TableContents"/>
              <w:bidi w:val="0"/>
              <w:spacing w:before="0" w:after="283"/>
              <w:jc w:val="left"/>
              <w:rPr/>
            </w:pPr>
            <w:r>
              <w:rPr>
                <w:spacing w:val="4"/>
              </w:rPr>
              <w:t>Executive Vice President — Consumer Payments</w:t>
            </w:r>
            <w:r>
              <w:rPr/>
              <w:t xml:space="preserve"> </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Business Highlights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2023 was another successful year of achievements for REPAY. We also experienced strong growth when excluding the impact of our divested Blue Cow Software business and the lack of contribution from political media clients in 2023. Highlights related to our results of operations and other achievements for the year ended December 31, 2023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year-over-year gross profit growth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79"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year-over-year normalized organic gross profit growth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0"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Consumer Payments organic gross profit growth of approximately 16% year-over-year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1"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Payments normalized organic gross profit growth of approximately 10% year-over-year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2"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AP supplier network to over 261,000, an increase of over 60% year-over-year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83"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Added 22 new integrated software partners to bring the total to 262 software relationships as of the end of 2023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4"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Organic gross profit growth” and “normalized organic gross profit growth” are non-GAAP financial measures. Please refer to Annex B to this Proxy Statement for reconciliations to GAAP measures and further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Executive Compensation Highlights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solid 2023 financial performance relative to the rigorous goals established in connection with our annual cash incentive program resulted in an average payout of approximately 94% of target bonus for our NEOs. Conversely, our stock price performance in 2022 and 2023 has generally lagged the broader market and relevant indices. As a result, the performance stock units granted in 2021 for the three-year performance period ended December 31, 2023 were forfeited in full (marking the second consecutive year of this result as our performance stock units granted in 2020 for the three-year performance period ended December 31, 2022 were previously forfeited in full). These factors have led to generally lower compensation for the NEOs than what was originally targeted by the Compensation Committee. Greater detail regarding the compensation of our NEOs and the link between compensation and performance can be found within the 2023 Summary Compensation Table and the Pay Versus Performance discussions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CEO Compensation Highlights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CEO’s 2023 target total direct compensation increased by approximately 15% over his 2022 target total direct compensation. This increase was made entirely in the form of long-term incentive awards, which are at-risk and continue to align the CEO with investors. The primary rationale for this increase was the CEO’s strong leadership of the Company and review of data that indicated that our CEO’s 2022 total compensation was significantly below the median of our compensation comparison peer group for 2023.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CEO’s compensation increase in 2023 improved his positioning within our compensation comparison peer group (though he still remained below the median), which was consistent with the Compensation Committee’s objective to remain competitive in attracting and retaining top executive talent while aligning realized compensation with Company performance. Additional detail with respect to a comparison between target compensation and realized compensation for our CEO is described in the following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Realized Pay Versus Target Pay 2021- 2023</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keeping with our pay for performance philosophy, the Compensation Committee designed our compensation program to ensure that the realized value our executives receive is closely aligned with Company performance and stockholder value. Since 2021, our executives have led the Company to execute on our strategic objectives and grow our business. At the same time, our stock price performance has been below our Board’s and management’s goals and expectations. For example, the performance-based restricted stock units scheduled to vest in 2023 and 2022 were forfeited in full due to the Company not meeting threshold total stockholder return metrics. As a result, during the past three years, our CEO’s realized pay was materially lower than the target pay opportunity, as described in the following chart evidencing our pay-for-performance philosophy and alignment with stockholder interests: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991100" cy="2476500"/>
            <wp:effectExtent l="0" t="0" r="0" b="0"/>
            <wp:docPr id="8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6" descr=""/>
                    <pic:cNvPicPr>
                      <a:picLocks noChangeAspect="1" noChangeArrowheads="1"/>
                    </pic:cNvPicPr>
                  </pic:nvPicPr>
                  <pic:blipFill>
                    <a:blip r:embed="rId17"/>
                    <a:stretch>
                      <a:fillRect/>
                    </a:stretch>
                  </pic:blipFill>
                  <pic:spPr bwMode="auto">
                    <a:xfrm>
                      <a:off x="0" y="0"/>
                      <a:ext cx="4991100" cy="2476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assumptions and calculations were used for purposes of the chart above: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target pay for 2021-2023 includes base salary paid during each year, target annual incentive program (AIP) pay for each year, and target long-term equity incentives awarded as described in more detail throughout this section. Equity based awards are valued for this purpose at the target amount approved by the Compensation Committee.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86"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realizable pay for 2021-2023 includes base salary paid during each of the three years, actual AIP pay received for each year, and the value of shares vested during each year under long-term equity incentive awards. The base salary paid and AIP pay received for each year by our CEO are described in more detail in the Summary Compensation Table. The value of shares vested under long-term equity incentive awards to our CEO for this purpose were calculated by multiplying the total number of such shares by the closing price of our Class A common stock ($8.54) on December 29, 2023.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87"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Pay Mix and Target Total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 The majority of NEO compensation is variable (93% of target compensation for our CEO and an average of 78% of target compensation for our other NEOs). In addition, our pay mix is heavily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weighted in equity (87% of target compensation for our CEO and an average of 64% of target compensation for our other NEOs), which we believe links the interests of the NEOs with long-term stockholder value creation. The following charts show the mix of total target compensation in 2023 for our CEO and the average of all other NEOs (excluding any one-time awards).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4543425" cy="4876800"/>
            <wp:effectExtent l="0" t="0" r="0" b="0"/>
            <wp:docPr id="8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7" descr=""/>
                    <pic:cNvPicPr>
                      <a:picLocks noChangeAspect="1" noChangeArrowheads="1"/>
                    </pic:cNvPicPr>
                  </pic:nvPicPr>
                  <pic:blipFill>
                    <a:blip r:embed="rId18"/>
                    <a:stretch>
                      <a:fillRect/>
                    </a:stretch>
                  </pic:blipFill>
                  <pic:spPr bwMode="auto">
                    <a:xfrm>
                      <a:off x="0" y="0"/>
                      <a:ext cx="4543425" cy="48768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aiming for a pay mix focused on variable and performance-based vehicles and designed to attract, retain and motivate our NEOs, and following a review of peer companies and executive performance, the Compensation Committee approved executive pay at the following target levels for 2023 (excluding any one-time awards): </w:t>
      </w:r>
    </w:p>
    <w:tbl>
      <w:tblPr>
        <w:tblW w:w="10110" w:type="dxa"/>
        <w:jc w:val="left"/>
        <w:tblInd w:w="1393" w:type="dxa"/>
        <w:tblLayout w:type="fixed"/>
        <w:tblCellMar>
          <w:top w:w="0" w:type="dxa"/>
          <w:left w:w="0" w:type="dxa"/>
          <w:bottom w:w="28" w:type="dxa"/>
          <w:right w:w="0" w:type="dxa"/>
        </w:tblCellMar>
      </w:tblPr>
      <w:tblGrid>
        <w:gridCol w:w="124"/>
        <w:gridCol w:w="1030"/>
        <w:gridCol w:w="109"/>
        <w:gridCol w:w="109"/>
        <w:gridCol w:w="109"/>
        <w:gridCol w:w="109"/>
        <w:gridCol w:w="886"/>
        <w:gridCol w:w="109"/>
        <w:gridCol w:w="109"/>
        <w:gridCol w:w="109"/>
        <w:gridCol w:w="109"/>
        <w:gridCol w:w="109"/>
        <w:gridCol w:w="346"/>
        <w:gridCol w:w="109"/>
        <w:gridCol w:w="109"/>
        <w:gridCol w:w="109"/>
        <w:gridCol w:w="109"/>
        <w:gridCol w:w="109"/>
        <w:gridCol w:w="886"/>
        <w:gridCol w:w="109"/>
        <w:gridCol w:w="109"/>
        <w:gridCol w:w="109"/>
        <w:gridCol w:w="109"/>
        <w:gridCol w:w="109"/>
        <w:gridCol w:w="346"/>
        <w:gridCol w:w="109"/>
        <w:gridCol w:w="109"/>
        <w:gridCol w:w="109"/>
        <w:gridCol w:w="109"/>
        <w:gridCol w:w="109"/>
        <w:gridCol w:w="1066"/>
        <w:gridCol w:w="109"/>
        <w:gridCol w:w="109"/>
        <w:gridCol w:w="109"/>
        <w:gridCol w:w="109"/>
        <w:gridCol w:w="109"/>
        <w:gridCol w:w="346"/>
        <w:gridCol w:w="109"/>
        <w:gridCol w:w="109"/>
        <w:gridCol w:w="109"/>
        <w:gridCol w:w="112"/>
        <w:gridCol w:w="112"/>
        <w:gridCol w:w="1100"/>
        <w:gridCol w:w="114"/>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030"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1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Base </w:t>
              <w:br/>
              <w:t xml:space="preserve">Salary </w:t>
              <w:b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67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 of </w:t>
              <w:br/>
              <w:t xml:space="preserve">Total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1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Target </w:t>
              <w:br/>
              <w:t xml:space="preserve">Short-Term </w:t>
              <w:br/>
              <w:t xml:space="preserve">Cash Incentive </w:t>
              <w:b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67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 of </w:t>
              <w:br/>
              <w:t xml:space="preserve">Total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39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Target </w:t>
              <w:br/>
              <w:t xml:space="preserve">Long-Term </w:t>
              <w:br/>
              <w:t xml:space="preserve">Equity Incentives </w:t>
              <w:b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67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 of </w:t>
              <w:br/>
              <w:t xml:space="preserve">Total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38"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Total Target </w:t>
              <w:br/>
              <w:t xml:space="preserve">Compensation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30"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500,000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500,000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6,500,000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87%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right"/>
              <w:rPr/>
            </w:pPr>
            <w:r>
              <w:rPr/>
              <w:t>​</w:t>
            </w:r>
          </w:p>
        </w:tc>
        <w:tc>
          <w:tcPr>
            <w:tcW w:w="1100" w:type="dxa"/>
            <w:tcBorders/>
            <w:shd w:fill="CCCCCC" w:val="clear"/>
            <w:tcMar>
              <w:bottom w:w="0" w:type="dxa"/>
            </w:tcMar>
            <w:vAlign w:val="center"/>
          </w:tcPr>
          <w:p>
            <w:pPr>
              <w:pStyle w:val="TableContents"/>
              <w:bidi w:val="0"/>
              <w:spacing w:before="0" w:after="283"/>
              <w:jc w:val="right"/>
              <w:rPr/>
            </w:pPr>
            <w:r>
              <w:rPr/>
              <w:t>7,500,000</w:t>
            </w:r>
          </w:p>
        </w:tc>
        <w:tc>
          <w:tcPr>
            <w:tcW w:w="11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0"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1,586,000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2,286,000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30"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385,000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25%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192,500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13%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950,000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62%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right"/>
              <w:rPr/>
            </w:pPr>
            <w:r>
              <w:rPr/>
              <w:t>​</w:t>
            </w:r>
          </w:p>
        </w:tc>
        <w:tc>
          <w:tcPr>
            <w:tcW w:w="1100" w:type="dxa"/>
            <w:tcBorders/>
            <w:shd w:fill="CCCCCC" w:val="clear"/>
            <w:tcMar>
              <w:bottom w:w="0" w:type="dxa"/>
            </w:tcMar>
            <w:vAlign w:val="center"/>
          </w:tcPr>
          <w:p>
            <w:pPr>
              <w:pStyle w:val="TableContents"/>
              <w:bidi w:val="0"/>
              <w:spacing w:before="0" w:after="283"/>
              <w:jc w:val="right"/>
              <w:rPr/>
            </w:pPr>
            <w:r>
              <w:rPr/>
              <w:t>1,527,500</w:t>
            </w:r>
          </w:p>
        </w:tc>
        <w:tc>
          <w:tcPr>
            <w:tcW w:w="11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30"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1,800,000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30"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360,000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22%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270,000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17%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1,000,000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346" w:type="dxa"/>
            <w:tcBorders/>
            <w:shd w:fill="CCCCCC" w:val="clear"/>
            <w:tcMar>
              <w:bottom w:w="0" w:type="dxa"/>
            </w:tcMar>
            <w:vAlign w:val="center"/>
          </w:tcPr>
          <w:p>
            <w:pPr>
              <w:pStyle w:val="TableContents"/>
              <w:bidi w:val="0"/>
              <w:spacing w:before="0" w:after="283"/>
              <w:jc w:val="right"/>
              <w:rPr/>
            </w:pPr>
            <w:r>
              <w:rPr/>
              <w:t>61%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left"/>
              <w:rPr/>
            </w:pPr>
            <w:r>
              <w:rPr/>
              <w:t>​</w:t>
            </w:r>
          </w:p>
        </w:tc>
        <w:tc>
          <w:tcPr>
            <w:tcW w:w="112" w:type="dxa"/>
            <w:tcBorders/>
            <w:shd w:fill="CCCCCC" w:val="clear"/>
            <w:tcMar>
              <w:bottom w:w="0" w:type="dxa"/>
            </w:tcMar>
            <w:vAlign w:val="center"/>
          </w:tcPr>
          <w:p>
            <w:pPr>
              <w:pStyle w:val="TableContents"/>
              <w:bidi w:val="0"/>
              <w:spacing w:before="0" w:after="283"/>
              <w:jc w:val="right"/>
              <w:rPr/>
            </w:pPr>
            <w:r>
              <w:rPr/>
              <w:t>​</w:t>
            </w:r>
          </w:p>
        </w:tc>
        <w:tc>
          <w:tcPr>
            <w:tcW w:w="1100" w:type="dxa"/>
            <w:tcBorders/>
            <w:shd w:fill="CCCCCC" w:val="clear"/>
            <w:tcMar>
              <w:bottom w:w="0" w:type="dxa"/>
            </w:tcMar>
            <w:vAlign w:val="center"/>
          </w:tcPr>
          <w:p>
            <w:pPr>
              <w:pStyle w:val="TableContents"/>
              <w:bidi w:val="0"/>
              <w:spacing w:before="0" w:after="283"/>
              <w:jc w:val="right"/>
              <w:rPr/>
            </w:pPr>
            <w:r>
              <w:rPr/>
              <w:t>1,630,000</w:t>
            </w:r>
          </w:p>
        </w:tc>
        <w:tc>
          <w:tcPr>
            <w:tcW w:w="11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detail regarding the compensation of our NEOs can be found within the 2023 Summary Compensation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of Stockholder Feedback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monitors the results of the “Say-on-Pay” vote and considers those results along with the objectives listed below in determining compensation policies. At the 2023 Annual Meeting, approximately 99% of the votes cast were in support of the compensation described in our 2023 proxy statement. The Compensation Committee interpreted this vote result as an indication of support for our fiscal 2022 compensation program. Additionally, during our stockholder engagement sessions in 2022, investors did not express any material concerns with our executive compensation program. As such, the Compensation Committee did not make material changes to our overall compensation program in 2023, other than the approval of one-time performance-based stock option awards to the NEOs other than the CEO.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Objectives of the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encompasses the overarching ideals of the Company as a whole. We value performance driven metrics and an astute workforce, and compensation decisions are made in support of the philosophy to pay for performance. The Compensation Committee believes this is best effectuated by designing compensation programs and policies to achieve the following primary objectives: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attract, retain and motivate our highly-talented executive team;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89"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the objectives and interests of our executives with those of our stockholders in order to increase overall value and output within the Company; and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0"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promote the achievement of key financial and strategic milestones.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1"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Attract and Retain Talented Executive Team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in a highly competitive industry for talented executives. The Compensation Committee has designed our compensation program to attract, retain and motivate an executive team capable of maximizing the Company’s performance in both the short- and long-term. With our compensation program and policies, we aim to provide our NEOs with a total compensation package that is competitive with comparable positions at other companies with which we compete for talent.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Align Interests of Named Executive Officers and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compensation policies and practices are designed to align the interests of our NEOs and our stockholders: </w:t>
      </w:r>
    </w:p>
    <w:tbl>
      <w:tblPr>
        <w:tblW w:w="8812" w:type="dxa"/>
        <w:jc w:val="left"/>
        <w:tblInd w:w="1393" w:type="dxa"/>
        <w:tblLayout w:type="fixed"/>
        <w:tblCellMar>
          <w:top w:w="0" w:type="dxa"/>
          <w:left w:w="0" w:type="dxa"/>
          <w:bottom w:w="28" w:type="dxa"/>
          <w:right w:w="0" w:type="dxa"/>
        </w:tblCellMar>
      </w:tblPr>
      <w:tblGrid>
        <w:gridCol w:w="124"/>
        <w:gridCol w:w="229"/>
        <w:gridCol w:w="109"/>
        <w:gridCol w:w="109"/>
        <w:gridCol w:w="2667"/>
        <w:gridCol w:w="109"/>
        <w:gridCol w:w="109"/>
        <w:gridCol w:w="229"/>
        <w:gridCol w:w="109"/>
        <w:gridCol w:w="109"/>
        <w:gridCol w:w="2329"/>
        <w:gridCol w:w="109"/>
        <w:gridCol w:w="109"/>
        <w:gridCol w:w="244"/>
        <w:gridCol w:w="109"/>
        <w:gridCol w:w="109"/>
        <w:gridCol w:w="1742"/>
        <w:gridCol w:w="158"/>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1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What We Do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What We Don’t Do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8" descr=""/>
                          <pic:cNvPicPr>
                            <a:picLocks noChangeAspect="1" noChangeArrowheads="1"/>
                          </pic:cNvPicPr>
                        </pic:nvPicPr>
                        <pic:blipFill>
                          <a:blip r:embed="rId19"/>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7" w:type="dxa"/>
            <w:tcBorders/>
            <w:tcMar>
              <w:bottom w:w="0" w:type="dxa"/>
            </w:tcMar>
            <w:vAlign w:val="center"/>
          </w:tcPr>
          <w:p>
            <w:pPr>
              <w:pStyle w:val="TableContents"/>
              <w:bidi w:val="0"/>
              <w:spacing w:lineRule="atLeast" w:line="240" w:before="0" w:after="0"/>
              <w:jc w:val="left"/>
              <w:rPr>
                <w:spacing w:val="4"/>
              </w:rPr>
            </w:pPr>
            <w:r>
              <w:rPr>
                <w:spacing w:val="4"/>
              </w:rPr>
              <w:t xml:space="preserve">Heavy emphasis on variable and performance-based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9" descr=""/>
                          <pic:cNvPicPr>
                            <a:picLocks noChangeAspect="1" noChangeArrowheads="1"/>
                          </pic:cNvPicPr>
                        </pic:nvPicPr>
                        <pic:blipFill>
                          <a:blip r:embed="rId20"/>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9" w:type="dxa"/>
            <w:tcBorders/>
            <w:tcMar>
              <w:bottom w:w="0" w:type="dxa"/>
            </w:tcMar>
            <w:vAlign w:val="center"/>
          </w:tcPr>
          <w:p>
            <w:pPr>
              <w:pStyle w:val="TableContents"/>
              <w:bidi w:val="0"/>
              <w:spacing w:lineRule="atLeast" w:line="240" w:before="0" w:after="0"/>
              <w:jc w:val="left"/>
              <w:rPr>
                <w:spacing w:val="4"/>
              </w:rPr>
            </w:pPr>
            <w:r>
              <w:rPr>
                <w:spacing w:val="4"/>
              </w:rPr>
              <w:t xml:space="preserve">Engage an independent compensation consultant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0"/>
              <w:jc w:val="left"/>
              <w:rPr/>
            </w:pPr>
            <w:r>
              <w:rPr/>
              <w:drawing>
                <wp:inline distT="0" distB="0" distL="0" distR="0">
                  <wp:extent cx="95250" cy="95250"/>
                  <wp:effectExtent l="0" t="0" r="0" b="0"/>
                  <wp:docPr id="9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0" descr=""/>
                          <pic:cNvPicPr>
                            <a:picLocks noChangeAspect="1" noChangeArrowheads="1"/>
                          </pic:cNvPicPr>
                        </pic:nvPicPr>
                        <pic:blipFill>
                          <a:blip r:embed="rId21"/>
                          <a:stretch>
                            <a:fillRect/>
                          </a:stretch>
                        </pic:blipFill>
                        <pic:spPr bwMode="auto">
                          <a:xfrm>
                            <a:off x="0" y="0"/>
                            <a:ext cx="95250"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lineRule="atLeast" w:line="240" w:before="0" w:after="0"/>
              <w:jc w:val="left"/>
              <w:rPr>
                <w:spacing w:val="4"/>
              </w:rPr>
            </w:pPr>
            <w:r>
              <w:rPr>
                <w:spacing w:val="4"/>
              </w:rPr>
              <w:t xml:space="preserve">No significant perquisites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1" descr=""/>
                          <pic:cNvPicPr>
                            <a:picLocks noChangeAspect="1" noChangeArrowheads="1"/>
                          </pic:cNvPicPr>
                        </pic:nvPicPr>
                        <pic:blipFill>
                          <a:blip r:embed="rId22"/>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7" w:type="dxa"/>
            <w:tcBorders/>
            <w:tcMar>
              <w:bottom w:w="0" w:type="dxa"/>
            </w:tcMar>
            <w:vAlign w:val="center"/>
          </w:tcPr>
          <w:p>
            <w:pPr>
              <w:pStyle w:val="TableContents"/>
              <w:bidi w:val="0"/>
              <w:spacing w:lineRule="atLeast" w:line="240" w:before="0" w:after="0"/>
              <w:jc w:val="left"/>
              <w:rPr>
                <w:spacing w:val="4"/>
              </w:rPr>
            </w:pPr>
            <w:r>
              <w:rPr>
                <w:spacing w:val="4"/>
              </w:rPr>
              <w:t xml:space="preserve">Stock ownership guidelines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2" descr=""/>
                          <pic:cNvPicPr>
                            <a:picLocks noChangeAspect="1" noChangeArrowheads="1"/>
                          </pic:cNvPicPr>
                        </pic:nvPicPr>
                        <pic:blipFill>
                          <a:blip r:embed="rId23"/>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9" w:type="dxa"/>
            <w:tcBorders/>
            <w:tcMar>
              <w:bottom w:w="0" w:type="dxa"/>
            </w:tcMar>
            <w:vAlign w:val="center"/>
          </w:tcPr>
          <w:p>
            <w:pPr>
              <w:pStyle w:val="TableContents"/>
              <w:bidi w:val="0"/>
              <w:spacing w:lineRule="atLeast" w:line="240" w:before="0" w:after="0"/>
              <w:jc w:val="left"/>
              <w:rPr>
                <w:spacing w:val="4"/>
              </w:rPr>
            </w:pPr>
            <w:r>
              <w:rPr>
                <w:spacing w:val="4"/>
              </w:rPr>
              <w:t xml:space="preserve">Fully independent 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0"/>
              <w:jc w:val="left"/>
              <w:rPr/>
            </w:pPr>
            <w:r>
              <w:rPr/>
              <w:drawing>
                <wp:inline distT="0" distB="0" distL="0" distR="0">
                  <wp:extent cx="95250" cy="95250"/>
                  <wp:effectExtent l="0" t="0" r="0" b="0"/>
                  <wp:docPr id="9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3" descr=""/>
                          <pic:cNvPicPr>
                            <a:picLocks noChangeAspect="1" noChangeArrowheads="1"/>
                          </pic:cNvPicPr>
                        </pic:nvPicPr>
                        <pic:blipFill>
                          <a:blip r:embed="rId24"/>
                          <a:stretch>
                            <a:fillRect/>
                          </a:stretch>
                        </pic:blipFill>
                        <pic:spPr bwMode="auto">
                          <a:xfrm>
                            <a:off x="0" y="0"/>
                            <a:ext cx="95250"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lineRule="atLeast" w:line="240" w:before="0" w:after="0"/>
              <w:jc w:val="left"/>
              <w:rPr/>
            </w:pPr>
            <w:r>
              <w:rPr>
                <w:spacing w:val="4"/>
              </w:rPr>
              <w:t>No incentives that encourage excessive risk-taking</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4" descr=""/>
                          <pic:cNvPicPr>
                            <a:picLocks noChangeAspect="1" noChangeArrowheads="1"/>
                          </pic:cNvPicPr>
                        </pic:nvPicPr>
                        <pic:blipFill>
                          <a:blip r:embed="rId25"/>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7" w:type="dxa"/>
            <w:tcBorders/>
            <w:tcMar>
              <w:bottom w:w="0" w:type="dxa"/>
            </w:tcMar>
            <w:vAlign w:val="center"/>
          </w:tcPr>
          <w:p>
            <w:pPr>
              <w:pStyle w:val="TableContents"/>
              <w:bidi w:val="0"/>
              <w:spacing w:lineRule="atLeast" w:line="240" w:before="0" w:after="0"/>
              <w:jc w:val="left"/>
              <w:rPr>
                <w:spacing w:val="4"/>
              </w:rPr>
            </w:pPr>
            <w:r>
              <w:rPr>
                <w:spacing w:val="4"/>
              </w:rPr>
              <w:t xml:space="preserve">Anti-hedging/Anti-pledging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9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5" descr=""/>
                          <pic:cNvPicPr>
                            <a:picLocks noChangeAspect="1" noChangeArrowheads="1"/>
                          </pic:cNvPicPr>
                        </pic:nvPicPr>
                        <pic:blipFill>
                          <a:blip r:embed="rId26"/>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9" w:type="dxa"/>
            <w:tcBorders/>
            <w:tcMar>
              <w:bottom w:w="0" w:type="dxa"/>
            </w:tcMar>
            <w:vAlign w:val="center"/>
          </w:tcPr>
          <w:p>
            <w:pPr>
              <w:pStyle w:val="TableContents"/>
              <w:bidi w:val="0"/>
              <w:spacing w:lineRule="atLeast" w:line="240" w:before="0" w:after="0"/>
              <w:jc w:val="left"/>
              <w:rPr>
                <w:spacing w:val="4"/>
              </w:rPr>
            </w:pPr>
            <w:r>
              <w:rPr>
                <w:spacing w:val="4"/>
              </w:rPr>
              <w:t xml:space="preserve">Capped annual and long-term incentive programs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0"/>
              <w:jc w:val="left"/>
              <w:rPr/>
            </w:pPr>
            <w:r>
              <w:rPr/>
              <w:drawing>
                <wp:inline distT="0" distB="0" distL="0" distR="0">
                  <wp:extent cx="95250" cy="95250"/>
                  <wp:effectExtent l="0" t="0" r="0" b="0"/>
                  <wp:docPr id="10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6" descr=""/>
                          <pic:cNvPicPr>
                            <a:picLocks noChangeAspect="1" noChangeArrowheads="1"/>
                          </pic:cNvPicPr>
                        </pic:nvPicPr>
                        <pic:blipFill>
                          <a:blip r:embed="rId27"/>
                          <a:stretch>
                            <a:fillRect/>
                          </a:stretch>
                        </pic:blipFill>
                        <pic:spPr bwMode="auto">
                          <a:xfrm>
                            <a:off x="0" y="0"/>
                            <a:ext cx="95250"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lineRule="atLeast" w:line="240" w:before="0" w:after="0"/>
              <w:jc w:val="left"/>
              <w:rPr>
                <w:spacing w:val="4"/>
              </w:rPr>
            </w:pPr>
            <w:r>
              <w:rPr>
                <w:spacing w:val="4"/>
              </w:rPr>
              <w:t xml:space="preserve">No tax gross ups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10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7" descr=""/>
                          <pic:cNvPicPr>
                            <a:picLocks noChangeAspect="1" noChangeArrowheads="1"/>
                          </pic:cNvPicPr>
                        </pic:nvPicPr>
                        <pic:blipFill>
                          <a:blip r:embed="rId28"/>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7" w:type="dxa"/>
            <w:tcBorders/>
            <w:tcMar>
              <w:bottom w:w="0" w:type="dxa"/>
            </w:tcMar>
            <w:vAlign w:val="center"/>
          </w:tcPr>
          <w:p>
            <w:pPr>
              <w:pStyle w:val="TableContents"/>
              <w:bidi w:val="0"/>
              <w:spacing w:lineRule="atLeast" w:line="240" w:before="0" w:after="0"/>
              <w:jc w:val="left"/>
              <w:rPr>
                <w:spacing w:val="4"/>
              </w:rPr>
            </w:pPr>
            <w:r>
              <w:rPr>
                <w:spacing w:val="4"/>
              </w:rPr>
              <w:t xml:space="preserve">Mix of short-term and long-term incentives and performance metrics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10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8" descr=""/>
                          <pic:cNvPicPr>
                            <a:picLocks noChangeAspect="1" noChangeArrowheads="1"/>
                          </pic:cNvPicPr>
                        </pic:nvPicPr>
                        <pic:blipFill>
                          <a:blip r:embed="rId29"/>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9" w:type="dxa"/>
            <w:tcBorders/>
            <w:tcMar>
              <w:bottom w:w="0" w:type="dxa"/>
            </w:tcMar>
            <w:vAlign w:val="center"/>
          </w:tcPr>
          <w:p>
            <w:pPr>
              <w:pStyle w:val="TableContents"/>
              <w:bidi w:val="0"/>
              <w:spacing w:lineRule="atLeast" w:line="240" w:before="0" w:after="0"/>
              <w:jc w:val="left"/>
              <w:rPr>
                <w:spacing w:val="4"/>
              </w:rPr>
            </w:pPr>
            <w:r>
              <w:rPr>
                <w:spacing w:val="4"/>
              </w:rPr>
              <w:t xml:space="preserve">Double trigger change in control cash severance benefits and equity vesting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0"/>
              <w:jc w:val="left"/>
              <w:rPr/>
            </w:pPr>
            <w:r>
              <w:rPr/>
              <w:drawing>
                <wp:inline distT="0" distB="0" distL="0" distR="0">
                  <wp:extent cx="95250" cy="95250"/>
                  <wp:effectExtent l="0" t="0" r="0" b="0"/>
                  <wp:docPr id="10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9" descr=""/>
                          <pic:cNvPicPr>
                            <a:picLocks noChangeAspect="1" noChangeArrowheads="1"/>
                          </pic:cNvPicPr>
                        </pic:nvPicPr>
                        <pic:blipFill>
                          <a:blip r:embed="rId30"/>
                          <a:stretch>
                            <a:fillRect/>
                          </a:stretch>
                        </pic:blipFill>
                        <pic:spPr bwMode="auto">
                          <a:xfrm>
                            <a:off x="0" y="0"/>
                            <a:ext cx="95250"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lineRule="atLeast" w:line="240" w:before="0" w:after="0"/>
              <w:jc w:val="left"/>
              <w:rPr>
                <w:spacing w:val="4"/>
              </w:rPr>
            </w:pPr>
            <w:r>
              <w:rPr>
                <w:spacing w:val="4"/>
              </w:rPr>
              <w:t xml:space="preserve">No guaranteed incentive payments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10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0" descr=""/>
                          <pic:cNvPicPr>
                            <a:picLocks noChangeAspect="1" noChangeArrowheads="1"/>
                          </pic:cNvPicPr>
                        </pic:nvPicPr>
                        <pic:blipFill>
                          <a:blip r:embed="rId31"/>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7" w:type="dxa"/>
            <w:tcBorders/>
            <w:tcMar>
              <w:bottom w:w="0" w:type="dxa"/>
            </w:tcMar>
            <w:vAlign w:val="center"/>
          </w:tcPr>
          <w:p>
            <w:pPr>
              <w:pStyle w:val="TableContents"/>
              <w:bidi w:val="0"/>
              <w:spacing w:lineRule="atLeast" w:line="240" w:before="0" w:after="0"/>
              <w:jc w:val="left"/>
              <w:rPr>
                <w:spacing w:val="4"/>
              </w:rPr>
            </w:pPr>
            <w:r>
              <w:rPr>
                <w:spacing w:val="4"/>
              </w:rPr>
              <w:t xml:space="preserve">Annual risk assessments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0"/>
              <w:jc w:val="left"/>
              <w:rPr/>
            </w:pPr>
            <w:r>
              <w:rPr/>
              <w:drawing>
                <wp:inline distT="0" distB="0" distL="0" distR="0">
                  <wp:extent cx="85725" cy="95250"/>
                  <wp:effectExtent l="0" t="0" r="0" b="0"/>
                  <wp:docPr id="10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1" descr=""/>
                          <pic:cNvPicPr>
                            <a:picLocks noChangeAspect="1" noChangeArrowheads="1"/>
                          </pic:cNvPicPr>
                        </pic:nvPicPr>
                        <pic:blipFill>
                          <a:blip r:embed="rId32"/>
                          <a:stretch>
                            <a:fillRect/>
                          </a:stretch>
                        </pic:blipFill>
                        <pic:spPr bwMode="auto">
                          <a:xfrm>
                            <a:off x="0" y="0"/>
                            <a:ext cx="85725" cy="952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9" w:type="dxa"/>
            <w:tcBorders/>
            <w:tcMar>
              <w:bottom w:w="0" w:type="dxa"/>
            </w:tcMar>
            <w:vAlign w:val="center"/>
          </w:tcPr>
          <w:p>
            <w:pPr>
              <w:pStyle w:val="TableContents"/>
              <w:bidi w:val="0"/>
              <w:spacing w:lineRule="atLeast" w:line="240" w:before="0" w:after="0"/>
              <w:jc w:val="left"/>
              <w:rPr/>
            </w:pPr>
            <w:r>
              <w:rPr>
                <w:spacing w:val="4"/>
              </w:rPr>
              <w:t>Clawback policy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Promote the Achievement of Key Milestones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compensation should be linked to actual performance and individual contributions. The Compensation Committee has worked to create an environment where performance is expected and rewarded. Our compensation program is designed to provide significant performance-based compensation, including cash and equity compensation that is variable and based on our actual results and our executives’ individual performance, as compared to fixed or guaranteed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As described in the description of pay mix above, the majority of our executives’ compensation is at-risk and subject to performance achievement. We have a history of holding our executives accountable when performance has not met the rigorous expectations we build into the executive compensation program.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Elements of Our Compensation Programs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philosophy is supported by the following material compensation elements, which the Compensation Committee uses in determining the compensation of our NEOs: </w:t>
      </w:r>
    </w:p>
    <w:tbl>
      <w:tblPr>
        <w:tblW w:w="8812" w:type="dxa"/>
        <w:jc w:val="left"/>
        <w:tblInd w:w="1393" w:type="dxa"/>
        <w:tblLayout w:type="fixed"/>
        <w:tblCellMar>
          <w:top w:w="0" w:type="dxa"/>
          <w:left w:w="0" w:type="dxa"/>
          <w:bottom w:w="28" w:type="dxa"/>
          <w:right w:w="0" w:type="dxa"/>
        </w:tblCellMar>
      </w:tblPr>
      <w:tblGrid>
        <w:gridCol w:w="124"/>
        <w:gridCol w:w="1689"/>
        <w:gridCol w:w="109"/>
        <w:gridCol w:w="109"/>
        <w:gridCol w:w="1286"/>
        <w:gridCol w:w="109"/>
        <w:gridCol w:w="109"/>
        <w:gridCol w:w="5122"/>
        <w:gridCol w:w="155"/>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689" w:type="dxa"/>
            <w:tcBorders>
              <w:bottom w:val="single" w:sz="2" w:space="0" w:color="000000"/>
            </w:tcBorders>
            <w:shd w:fill="FFFFFF" w:val="clear"/>
            <w:tcMar>
              <w:bottom w:w="50" w:type="dxa"/>
            </w:tcMar>
            <w:vAlign w:val="center"/>
          </w:tcPr>
          <w:p>
            <w:pPr>
              <w:pStyle w:val="TableContents"/>
              <w:bidi w:val="0"/>
              <w:spacing w:before="0" w:after="0"/>
              <w:jc w:val="left"/>
              <w:rPr>
                <w:spacing w:val="-3"/>
              </w:rPr>
            </w:pPr>
            <w:r>
              <w:rPr>
                <w:spacing w:val="-3"/>
              </w:rPr>
              <w:t xml:space="preserve">Compensation Element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86" w:type="dxa"/>
            <w:tcBorders>
              <w:bottom w:val="single" w:sz="2" w:space="0" w:color="000000"/>
            </w:tcBorders>
            <w:shd w:fill="FFFFFF" w:val="clear"/>
            <w:tcMar>
              <w:bottom w:w="50" w:type="dxa"/>
            </w:tcMar>
            <w:vAlign w:val="center"/>
          </w:tcPr>
          <w:p>
            <w:pPr>
              <w:pStyle w:val="TableContents"/>
              <w:bidi w:val="0"/>
              <w:spacing w:before="0" w:after="0"/>
              <w:jc w:val="left"/>
              <w:rPr>
                <w:spacing w:val="-3"/>
              </w:rPr>
            </w:pPr>
            <w:r>
              <w:rPr>
                <w:spacing w:val="-3"/>
              </w:rPr>
              <w:t xml:space="preserve">How It’s Paid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5122" w:type="dxa"/>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Purpose </w:t>
            </w:r>
          </w:p>
        </w:tc>
        <w:tc>
          <w:tcPr>
            <w:tcW w:w="155"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689" w:type="dxa"/>
            <w:tcBorders/>
            <w:shd w:fill="CCCCCC" w:val="clear"/>
            <w:tcMar>
              <w:bottom w:w="0" w:type="dxa"/>
            </w:tcMar>
            <w:vAlign w:val="center"/>
          </w:tcPr>
          <w:p>
            <w:pPr>
              <w:pStyle w:val="TableContents"/>
              <w:bidi w:val="0"/>
              <w:spacing w:before="0" w:after="283"/>
              <w:jc w:val="left"/>
              <w:rPr>
                <w:spacing w:val="4"/>
              </w:rPr>
            </w:pPr>
            <w:r>
              <w:rPr>
                <w:spacing w:val="4"/>
              </w:rPr>
              <w:t xml:space="preserve">Base Salary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283"/>
              <w:jc w:val="left"/>
              <w:rPr>
                <w:spacing w:val="4"/>
              </w:rPr>
            </w:pPr>
            <w:r>
              <w:rPr>
                <w:spacing w:val="4"/>
              </w:rPr>
              <w:t xml:space="preserve">Cash (Fixed)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122" w:type="dxa"/>
            <w:tcBorders/>
            <w:shd w:fill="CCCCCC" w:val="clear"/>
            <w:tcMar>
              <w:bottom w:w="0" w:type="dxa"/>
            </w:tcMar>
            <w:vAlign w:val="center"/>
          </w:tcPr>
          <w:p>
            <w:pPr>
              <w:pStyle w:val="TableContents"/>
              <w:bidi w:val="0"/>
              <w:spacing w:before="0" w:after="283"/>
              <w:jc w:val="left"/>
              <w:rPr>
                <w:spacing w:val="4"/>
              </w:rPr>
            </w:pPr>
            <w:r>
              <w:rPr>
                <w:spacing w:val="4"/>
              </w:rPr>
              <w:t xml:space="preserve">Provides a competitive fixed compensation relative to similar positions in the market and enables us to attract and retain highly skilled executive talent </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spacing w:val="4"/>
              </w:rPr>
            </w:pPr>
            <w:r>
              <w:rPr>
                <w:spacing w:val="4"/>
              </w:rPr>
              <w:t xml:space="preserve">Annual Cash Incentive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283"/>
              <w:jc w:val="left"/>
              <w:rPr/>
            </w:pPr>
            <w:r>
              <w:rPr>
                <w:spacing w:val="4"/>
              </w:rPr>
              <w:t>Cash (Variable/</w:t>
            </w:r>
            <w:r>
              <w:rPr/>
              <w:t>​</w:t>
            </w:r>
            <w:r>
              <w:rPr>
                <w:spacing w:val="4"/>
              </w:rPr>
              <w:t xml:space="preserve">at-risk)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2" w:type="dxa"/>
            <w:tcBorders/>
            <w:tcMar>
              <w:bottom w:w="0" w:type="dxa"/>
            </w:tcMar>
            <w:vAlign w:val="center"/>
          </w:tcPr>
          <w:p>
            <w:pPr>
              <w:pStyle w:val="TableContents"/>
              <w:bidi w:val="0"/>
              <w:spacing w:before="0" w:after="283"/>
              <w:jc w:val="left"/>
              <w:rPr>
                <w:spacing w:val="4"/>
              </w:rPr>
            </w:pPr>
            <w:r>
              <w:rPr>
                <w:spacing w:val="4"/>
              </w:rPr>
              <w:t xml:space="preserve">Focuses executives on achieving annual financial and strategic goals that promote growth, profitability and returns, ultimately driving long-term stockholder value.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689" w:type="dxa"/>
            <w:tcBorders/>
            <w:shd w:fill="CCCCCC" w:val="clear"/>
            <w:tcMar>
              <w:bottom w:w="0" w:type="dxa"/>
            </w:tcMar>
            <w:vAlign w:val="center"/>
          </w:tcPr>
          <w:p>
            <w:pPr>
              <w:pStyle w:val="TableContents"/>
              <w:bidi w:val="0"/>
              <w:spacing w:before="0" w:after="283"/>
              <w:jc w:val="left"/>
              <w:rPr>
                <w:spacing w:val="4"/>
              </w:rPr>
            </w:pPr>
            <w:r>
              <w:rPr>
                <w:spacing w:val="4"/>
              </w:rPr>
              <w:t xml:space="preserve">Long-Term Incentive Plan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283"/>
              <w:jc w:val="left"/>
              <w:rPr/>
            </w:pPr>
            <w:r>
              <w:rPr>
                <w:spacing w:val="4"/>
              </w:rPr>
              <w:t>Equity (Variable/</w:t>
            </w:r>
            <w:r>
              <w:rPr/>
              <w:t>​</w:t>
            </w:r>
            <w:r>
              <w:rPr>
                <w:spacing w:val="4"/>
              </w:rPr>
              <w:t xml:space="preserve">at-risk)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122" w:type="dxa"/>
            <w:tcBorders/>
            <w:shd w:fill="CCCCCC" w:val="clear"/>
            <w:tcMar>
              <w:bottom w:w="0" w:type="dxa"/>
            </w:tcMar>
            <w:vAlign w:val="center"/>
          </w:tcPr>
          <w:p>
            <w:pPr>
              <w:pStyle w:val="TableContents"/>
              <w:bidi w:val="0"/>
              <w:spacing w:before="0" w:after="283"/>
              <w:jc w:val="left"/>
              <w:rPr>
                <w:spacing w:val="4"/>
              </w:rPr>
            </w:pPr>
            <w:r>
              <w:rPr>
                <w:spacing w:val="4"/>
              </w:rPr>
              <w:t xml:space="preserve">Provides incentives for executives to reach long-term financial and strategic goals that drive stockholder value creation. Typically, our time-based awards vest over four years, and the performance period of our performance-based awards is three years. </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spacing w:val="4"/>
              </w:rPr>
            </w:pPr>
            <w:r>
              <w:rPr>
                <w:spacing w:val="4"/>
              </w:rPr>
              <w:t xml:space="preserve">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283"/>
              <w:jc w:val="left"/>
              <w:rPr/>
            </w:pPr>
            <w:r>
              <w:rPr>
                <w:spacing w:val="4"/>
              </w:rPr>
              <w:t>Equity (Variable/</w:t>
            </w:r>
            <w:r>
              <w:rPr/>
              <w:t>​</w:t>
            </w:r>
            <w:r>
              <w:rPr>
                <w:spacing w:val="4"/>
              </w:rPr>
              <w:t xml:space="preserve">at-risk)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2" w:type="dxa"/>
            <w:tcBorders/>
            <w:tcMar>
              <w:bottom w:w="0" w:type="dxa"/>
            </w:tcMar>
            <w:vAlign w:val="center"/>
          </w:tcPr>
          <w:p>
            <w:pPr>
              <w:pStyle w:val="TableContents"/>
              <w:bidi w:val="0"/>
              <w:spacing w:before="0" w:after="283"/>
              <w:jc w:val="left"/>
              <w:rPr/>
            </w:pPr>
            <w:r>
              <w:rPr>
                <w:spacing w:val="4"/>
              </w:rPr>
              <w:t>Provides an incentive for executives to reach long-term financial and strategic goals that drive stockholder value creation and promotes retention among executive management.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7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generally provides an annual fixed compensation for our executives for the services they render during the year and is a standard element of compensation necessary to attract and retain high-level executive talent. All NEO employment arrangements require an annual review of base salary by the Compensation Committee, and annual increases may be made by the Compensation Committee on a discretionary basis. In making base salary decisions, the Compensation Committee does not use a specific formula for evaluating the individual performance of each NEO. When reviewing base salaries as part of the total target compensation, the Compensation Committee considers, among other factors, our contractual obligations under each NEO’s employment agreement, their respective role and responsibilities, their experience and contributions to our financial and operational success, the competitiveness of each NEO’s pay opportunity based on market data, and the totality of the executive’s individual performance. </w:t>
      </w:r>
    </w:p>
    <w:p>
      <w:pPr>
        <w:pStyle w:val="TextBody"/>
        <w:bidi w:val="0"/>
        <w:spacing w:lineRule="atLeast" w:line="240" w:before="21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Performance-Based Cash Incentive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performance-based cash incentive awards are awarded under the Annual Incentive Plan (“AIP”). These awards are designed to encourage the achievement of various pre-determined financial performance goals for the Company and personal and department performance goals tied to each of the NEO’s roles at the Company. The design of the AIP provides that each NEO’s cash incentive opportunity will be expressed as a percentage of his base salary and earned based on performance results as compared to pre-established threshold, target and maximum goals. NEOs participate in the AIP at individual target levels set forth in their respective employment agreements, which currently range from 50% to 100% of base salary. The AIP has a maximum funding at 200% of the target level for over performance and 0% funding of the target level for performance below threshold performance. </w:t>
      </w:r>
    </w:p>
    <w:p>
      <w:pPr>
        <w:pStyle w:val="TextBody"/>
        <w:bidi w:val="0"/>
        <w:spacing w:lineRule="atLeast" w:line="240" w:before="2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Performance-Based and Service-Based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are a significant component of our NEO compensation. Under the terms of our Amended and Restated Omnibus Incentive Plan, effective as of April 14, 2022 (the “Amended and Restated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FD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the Compensation Committee has the authority to annually grant equity to our NEOs, which it has done since the Business Combination. The Amended and Restated Plan is intended to recognize the contributions made to the Company by our employees and directors, to provide such persons with additional incentive to devote themselves to our future success, and to improve our ability to attract, retain, and motivate individuals upon whom our sustained growth and financial success depend, by providing such persons with an opportunity to acquire or increase their proprietary interest in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approving long-term equity incentives as part of the total target compensation, the Compensation Committee focuses on the nature of the NEO’s services and responsibilities, the NEO’s present and potential contribution to the Company’s success and such other factors it may deem relevant. The Compensation Committee also believes that linking the personal financial interests of our NEOs to the Company’s long-term performance discourages excessive risk taking and supports creation of sustainable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grant annual equity awards to the NEOs at the regularly-scheduled meeting of the Compensation Committee held in the first quarter of the fiscal year to align the timing close to the annual performance evaluations of NEOs. The date of such meeting is set up approximately a year in advance and coincides with the Board’s review of year-end financial results. The grant date of the equity awards has historically been the date such award is approved by the Compensation Committee. Equity awards may also be made by the Compensation Committee from time to time to incentivize and reward certain performance and to provide additional retention value, in accordance with the terms of our Award Grant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Process for Determining Named Executive Officers’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Compensation Committee is comprised of independent, non-employee members of the Board and has the primary authority to determine our compensation philosophy and establish the compensation of our NEOs. In establishing our NEOs’ compensation, the Compensation Committee uses its subjective evaluation of the executives’ performance and responsibilities, our overall performance and the CEO’s recommendations with respect to the other NEOs. The Compensation Committee’s specific authority and responsibilities are set forth in its charter, a copy of which is available on the “Investors” page of our website, </w:t>
      </w:r>
      <w:r>
        <w:rPr>
          <w:rFonts w:ascii="Times New Roman;Times;serif" w:hAnsi="Times New Roman;Times;serif"/>
          <w:b w:val="false"/>
          <w:i/>
          <w:caps w:val="false"/>
          <w:smallCaps w:val="false"/>
          <w:color w:val="000000"/>
          <w:spacing w:val="4"/>
          <w:sz w:val="20"/>
        </w:rPr>
        <w:t>www.repay.com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also engaged an independent compensation consultant to advise the Compensation Committee regarding the status of our NEOs’ compensation in relation to comparable companies. The Compensation Committee works very closely with its independent compensation consultant and management to evaluate the effectiveness of our executive compensation program throughout the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plays a significant role in the process of establishing executive compensation. The most significant aspects of management’s role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evaluation of employee performance (other than for the CEO);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information for Compensation Committee meetings;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business performance targets and objectives;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background information regarding our strategic objectives; and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salary levels and equity awards.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Compensation Committee may invite any director, member of management and such other persons as it deems appropriate to its meetings in order to carry out its responsibilities. Typically, our CEO reviews the performance of senior management and makes recommendations on compensation levels in accordance with our Award Grant Policy, and our General Counsel advises the committee on legal matters and prepares documents for the Compensation Committee’s consideration. Also, our Executive Vice President — Human Resources provides the Compensation Committee with details with respect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 of our various compensation and benefit plans. The CEO presents to the Compensation Committee the individual goals for the NEOs (other than the CEO) and an analysis of the achievement of those goals. In addition, these officers answer questions posed by the Compensation Committee. Also, the Board has delegated authority to our CEO to grant equity awards to employees other than executive officers, subject to certain parameters set forth in our Award Grant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recommends to the Compensation Committee annual base salaries, annual performance-based cash incentive awards and long-term or performance equity grants for the NEOs (other than the CEO). The Compensation Committee then evaluates each NEO, sets performance criteria for annual performance-based cash incentive awards, and makes long-term equity grants, if any. Although the Compensation Committee considers the CEO’s recommendations, the final decisions regarding base salary, annual incentive awards and equity awards of the NEOs are within the sole discretion of the Compensation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the Independent Compensation Consultant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the authority to retain independent compensation consultants to provide counsel and advice. For 2023, the Compensation Committee retained Frederic W. Cook &amp; Co., Inc. (“FW Cook”) as its independent advisor on executive and non-employee director compensation matters. FW Cook reports directly to the Compensation Committee and does not provide any other services to the Company. The Compensation Committee assessed the independence of FW Cook in 2023 and whether any work provided by FW Cook raises any conflict of interest, taking into consideration the independence factors set forth in applicable SEC and Nasdaq rules, and determined that FW Cook was independent.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Compensation Committee’s independent compensation consultant, FW Cook generally reviews and evaluates our executive compensation programs. FW Cook considers the objectives of our compensation programs and compares them to peer group companies (as discussed below) and best practices and consults the Compensation Committee on competitive compensation practices and trends. The Compensation Committee pre-approves any services to be provided by FW Cook. FW Cook assisted the Compensation Committee in establishing our compensation philosophy, determining our peer group and determining appropriate levels of compensation for our NEOs in 2023.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Survey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regularly reviews benchmarking and market surveys in order to ensure that our compensation is competitive with that of our peers. The Compensation Committee also considers analysis and surveys by third parties for comparative purposes in order to gain a better understanding of compensation practices and trends in the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consultant provides the Compensation Committee with general market surveys and other information related to the general market for executive compensation, including best practices and emerging trends. Additionally, in 2023, FW Cook provided information derived from the proxy statements of our peer group of 13 companies, which includes publicly traded companies providing financial technology products and services with similar revenues, earnings and/or market capitalizations. FW Cook also referred to another industry survey covering the broader technology industry as an additional market resource. The peer companies referred to for evaluation of our 2023 NEO compensation included the following: </w:t>
      </w:r>
    </w:p>
    <w:tbl>
      <w:tblPr>
        <w:tblW w:w="8812" w:type="dxa"/>
        <w:jc w:val="left"/>
        <w:tblInd w:w="1393" w:type="dxa"/>
        <w:tblLayout w:type="fixed"/>
        <w:tblCellMar>
          <w:top w:w="0" w:type="dxa"/>
          <w:left w:w="0" w:type="dxa"/>
          <w:bottom w:w="0" w:type="dxa"/>
          <w:right w:w="0" w:type="dxa"/>
        </w:tblCellMar>
      </w:tblPr>
      <w:tblGrid>
        <w:gridCol w:w="124"/>
        <w:gridCol w:w="2495"/>
        <w:gridCol w:w="109"/>
        <w:gridCol w:w="109"/>
        <w:gridCol w:w="2773"/>
        <w:gridCol w:w="109"/>
        <w:gridCol w:w="109"/>
        <w:gridCol w:w="2829"/>
        <w:gridCol w:w="155"/>
      </w:tblGrid>
      <w:tr>
        <w:trPr/>
        <w:tc>
          <w:tcPr>
            <w:tcW w:w="124"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spacing w:val="4"/>
              </w:rPr>
            </w:pPr>
            <w:r>
              <w:rPr>
                <w:spacing w:val="4"/>
              </w:rPr>
              <w:t xml:space="preserve">ACI Worldwide, Inc. </w:t>
              <w:br/>
              <w:t xml:space="preserve">Bill.com Holdings, Inc. </w:t>
              <w:br/>
              <w:t xml:space="preserve">Coupa Software Incorporated </w:t>
              <w:br/>
              <w:t xml:space="preserve">EVERTEC Inc. </w:t>
              <w:br/>
              <w:t xml:space="preserve">EVO Payments,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3" w:type="dxa"/>
            <w:tcBorders/>
            <w:vAlign w:val="center"/>
          </w:tcPr>
          <w:p>
            <w:pPr>
              <w:pStyle w:val="TableContents"/>
              <w:bidi w:val="0"/>
              <w:spacing w:before="0" w:after="283"/>
              <w:jc w:val="left"/>
              <w:rPr>
                <w:spacing w:val="4"/>
              </w:rPr>
            </w:pPr>
            <w:r>
              <w:rPr>
                <w:spacing w:val="4"/>
              </w:rPr>
              <w:t xml:space="preserve">Green Dot Corporation </w:t>
              <w:br/>
              <w:t xml:space="preserve">i3 Verticals, Inc. </w:t>
              <w:br/>
              <w:t xml:space="preserve">International Money Express, Inc. </w:t>
              <w:br/>
              <w:t xml:space="preserve">Nuvei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29" w:type="dxa"/>
            <w:tcBorders/>
            <w:vAlign w:val="center"/>
          </w:tcPr>
          <w:p>
            <w:pPr>
              <w:pStyle w:val="TableContents"/>
              <w:bidi w:val="0"/>
              <w:spacing w:before="0" w:after="283"/>
              <w:jc w:val="left"/>
              <w:rPr/>
            </w:pPr>
            <w:r>
              <w:rPr>
                <w:spacing w:val="4"/>
              </w:rPr>
              <w:t xml:space="preserve">Priority Technology Holdings, Inc. </w:t>
              <w:br/>
              <w:t xml:space="preserve">Shift4 Payments, Inc. </w:t>
              <w:br/>
              <w:t xml:space="preserve">Q2 Holdings, Inc. </w:t>
              <w:br/>
              <w:t>Verra Mobility Corporation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reviewed compensation information from this peer group by comparable executive position and level to better understand the market for other participants for all aspects of compensation. In a review of the applicable data, the Compensation Committee sought to ensure that the overall compensation to our NEOs was competitive with industry standards and within a competitive range around median compensation levels at other companies of similar characteristics based on the executive’s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NEO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position, level and job performance. The Compensation Committee took this evaluation into account in determining all elements of NEO compensation for 2023. The Compensation Committee annually evaluates the list of peer companies and will continue to make appropriate adjustments. In this regard, the Compensation Committee expects to focus on revenue as the most important metric for purposes of striving to ensure that the list of peers represent comparable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Named Executive Officers’ Compensation in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represents annual fixed compensation and provides our NEOs with a level of compensation consistent with their experience, responsibilities and contributions in relation to comparable positions in the marketplace. The Compensation Committee met in February of 2023 to determine the base salaries for our NEOs for 2023 and determined that base salaries should be established as set forth in the table below. The Compensation Committee decided to increase base salaries for our NEOs (other than Mr. Morris) to retain executive officers in a highly competitive labor market for executive talent. Mr. Moore transitioned from his position as Executive Vice President, Corporate Development &amp; Strategy to his new role as Executive Vice President, Consumer Payments, which accounts for his additional increase in base salary. A competitive review of market data suggested Mr. Guthrie’s compensation was below the median. As such, and in recognition of his exceptional performance and the critical importance of the role of Chief Technology Officer to Repay’s business, the Compensation Committee approved a market adjustment increase in base salary to better align competitive market rates and to acknowledge Mr. Guthrie’s exceptional performance in his role.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for our NEOs at the end of fiscal 2023, compared to their base salaries in effect at the end of fiscal 2022, are set forth below: </w:t>
      </w:r>
    </w:p>
    <w:tbl>
      <w:tblPr>
        <w:tblW w:w="8355" w:type="dxa"/>
        <w:jc w:val="left"/>
        <w:tblInd w:w="1393" w:type="dxa"/>
        <w:tblLayout w:type="fixed"/>
        <w:tblCellMar>
          <w:top w:w="0" w:type="dxa"/>
          <w:left w:w="0" w:type="dxa"/>
          <w:bottom w:w="28" w:type="dxa"/>
          <w:right w:w="0" w:type="dxa"/>
        </w:tblCellMar>
      </w:tblPr>
      <w:tblGrid>
        <w:gridCol w:w="124"/>
        <w:gridCol w:w="2059"/>
        <w:gridCol w:w="109"/>
        <w:gridCol w:w="109"/>
        <w:gridCol w:w="190"/>
        <w:gridCol w:w="190"/>
        <w:gridCol w:w="1545"/>
        <w:gridCol w:w="190"/>
        <w:gridCol w:w="109"/>
        <w:gridCol w:w="109"/>
        <w:gridCol w:w="190"/>
        <w:gridCol w:w="190"/>
        <w:gridCol w:w="1545"/>
        <w:gridCol w:w="190"/>
        <w:gridCol w:w="109"/>
        <w:gridCol w:w="109"/>
        <w:gridCol w:w="137"/>
        <w:gridCol w:w="137"/>
        <w:gridCol w:w="721"/>
        <w:gridCol w:w="13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059" w:type="dxa"/>
            <w:tcBorders>
              <w:bottom w:val="single" w:sz="2" w:space="0" w:color="000000"/>
            </w:tcBorders>
            <w:shd w:fill="FFFFFF" w:val="clear"/>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115"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2023 Base Salary ($)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115"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2022 Base Salary ($)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134"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 Change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500,000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500,000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right"/>
              <w:rPr/>
            </w:pPr>
            <w:r>
              <w:rPr/>
              <w:t>​</w:t>
            </w:r>
          </w:p>
        </w:tc>
        <w:tc>
          <w:tcPr>
            <w:tcW w:w="721" w:type="dxa"/>
            <w:tcBorders/>
            <w:shd w:fill="CCCCCC" w:val="clear"/>
            <w:tcMar>
              <w:bottom w:w="0" w:type="dxa"/>
            </w:tcMar>
            <w:vAlign w:val="center"/>
          </w:tcPr>
          <w:p>
            <w:pPr>
              <w:pStyle w:val="TableContents"/>
              <w:bidi w:val="0"/>
              <w:spacing w:before="0" w:after="283"/>
              <w:jc w:val="right"/>
              <w:rPr/>
            </w:pPr>
            <w:r>
              <w:rPr/>
              <w:t>0%</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1545" w:type="dxa"/>
            <w:tcBorders/>
            <w:tcMar>
              <w:bottom w:w="0" w:type="dxa"/>
            </w:tcMar>
            <w:vAlign w:val="center"/>
          </w:tcPr>
          <w:p>
            <w:pPr>
              <w:pStyle w:val="TableContents"/>
              <w:bidi w:val="0"/>
              <w:spacing w:before="0" w:after="283"/>
              <w:jc w:val="right"/>
              <w:rPr/>
            </w:pPr>
            <w:r>
              <w:rPr/>
              <w:t>400,000</w:t>
            </w:r>
          </w:p>
        </w:tc>
        <w:tc>
          <w:tcPr>
            <w:tcW w:w="1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1545" w:type="dxa"/>
            <w:tcBorders/>
            <w:tcMar>
              <w:bottom w:w="0" w:type="dxa"/>
            </w:tcMar>
            <w:vAlign w:val="center"/>
          </w:tcPr>
          <w:p>
            <w:pPr>
              <w:pStyle w:val="TableContents"/>
              <w:bidi w:val="0"/>
              <w:spacing w:before="0" w:after="283"/>
              <w:jc w:val="right"/>
              <w:rPr/>
            </w:pPr>
            <w:r>
              <w:rPr/>
              <w:t>385,000</w:t>
            </w:r>
          </w:p>
        </w:tc>
        <w:tc>
          <w:tcPr>
            <w:tcW w:w="1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3.9%</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385,000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374,500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right"/>
              <w:rPr/>
            </w:pPr>
            <w:r>
              <w:rPr/>
              <w:t>​</w:t>
            </w:r>
          </w:p>
        </w:tc>
        <w:tc>
          <w:tcPr>
            <w:tcW w:w="721" w:type="dxa"/>
            <w:tcBorders/>
            <w:shd w:fill="CCCCCC" w:val="clear"/>
            <w:tcMar>
              <w:bottom w:w="0" w:type="dxa"/>
            </w:tcMar>
            <w:vAlign w:val="center"/>
          </w:tcPr>
          <w:p>
            <w:pPr>
              <w:pStyle w:val="TableContents"/>
              <w:bidi w:val="0"/>
              <w:spacing w:before="0" w:after="283"/>
              <w:jc w:val="right"/>
              <w:rPr/>
            </w:pPr>
            <w:r>
              <w:rPr/>
              <w:t>2.8%</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1545" w:type="dxa"/>
            <w:tcBorders/>
            <w:tcMar>
              <w:bottom w:w="0" w:type="dxa"/>
            </w:tcMar>
            <w:vAlign w:val="center"/>
          </w:tcPr>
          <w:p>
            <w:pPr>
              <w:pStyle w:val="TableContents"/>
              <w:bidi w:val="0"/>
              <w:spacing w:before="0" w:after="283"/>
              <w:jc w:val="right"/>
              <w:rPr/>
            </w:pPr>
            <w:r>
              <w:rPr/>
              <w:t>400,000</w:t>
            </w:r>
          </w:p>
        </w:tc>
        <w:tc>
          <w:tcPr>
            <w:tcW w:w="1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1545" w:type="dxa"/>
            <w:tcBorders/>
            <w:tcMar>
              <w:bottom w:w="0" w:type="dxa"/>
            </w:tcMar>
            <w:vAlign w:val="center"/>
          </w:tcPr>
          <w:p>
            <w:pPr>
              <w:pStyle w:val="TableContents"/>
              <w:bidi w:val="0"/>
              <w:spacing w:before="0" w:after="283"/>
              <w:jc w:val="right"/>
              <w:rPr/>
            </w:pPr>
            <w:r>
              <w:rPr/>
              <w:t>350,000</w:t>
            </w:r>
          </w:p>
        </w:tc>
        <w:tc>
          <w:tcPr>
            <w:tcW w:w="1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14.3%</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360,000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left"/>
              <w:rPr/>
            </w:pPr>
            <w:r>
              <w:rPr/>
              <w:t>​</w:t>
            </w:r>
          </w:p>
        </w:tc>
        <w:tc>
          <w:tcPr>
            <w:tcW w:w="190" w:type="dxa"/>
            <w:tcBorders/>
            <w:shd w:fill="CCCCCC" w:val="clear"/>
            <w:tcMar>
              <w:bottom w:w="0" w:type="dxa"/>
            </w:tcMar>
            <w:vAlign w:val="center"/>
          </w:tcPr>
          <w:p>
            <w:pPr>
              <w:pStyle w:val="TableContents"/>
              <w:bidi w:val="0"/>
              <w:spacing w:before="0" w:after="283"/>
              <w:jc w:val="right"/>
              <w:rPr/>
            </w:pPr>
            <w:r>
              <w:rPr/>
              <w:t>​</w:t>
            </w:r>
          </w:p>
        </w:tc>
        <w:tc>
          <w:tcPr>
            <w:tcW w:w="1545" w:type="dxa"/>
            <w:tcBorders/>
            <w:shd w:fill="CCCCCC" w:val="clear"/>
            <w:tcMar>
              <w:bottom w:w="0" w:type="dxa"/>
            </w:tcMar>
            <w:vAlign w:val="center"/>
          </w:tcPr>
          <w:p>
            <w:pPr>
              <w:pStyle w:val="TableContents"/>
              <w:bidi w:val="0"/>
              <w:spacing w:before="0" w:after="283"/>
              <w:jc w:val="right"/>
              <w:rPr/>
            </w:pPr>
            <w:r>
              <w:rPr/>
              <w:t>220,420</w:t>
            </w:r>
          </w:p>
        </w:tc>
        <w:tc>
          <w:tcPr>
            <w:tcW w:w="19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left"/>
              <w:rPr/>
            </w:pPr>
            <w:r>
              <w:rPr/>
              <w:t>​</w:t>
            </w:r>
          </w:p>
        </w:tc>
        <w:tc>
          <w:tcPr>
            <w:tcW w:w="137" w:type="dxa"/>
            <w:tcBorders/>
            <w:shd w:fill="CCCCCC" w:val="clear"/>
            <w:tcMar>
              <w:bottom w:w="0" w:type="dxa"/>
            </w:tcMar>
            <w:vAlign w:val="center"/>
          </w:tcPr>
          <w:p>
            <w:pPr>
              <w:pStyle w:val="TableContents"/>
              <w:bidi w:val="0"/>
              <w:spacing w:before="0" w:after="283"/>
              <w:jc w:val="right"/>
              <w:rPr/>
            </w:pPr>
            <w:r>
              <w:rPr/>
              <w:t>​</w:t>
            </w:r>
          </w:p>
        </w:tc>
        <w:tc>
          <w:tcPr>
            <w:tcW w:w="721" w:type="dxa"/>
            <w:tcBorders/>
            <w:shd w:fill="CCCCCC" w:val="clear"/>
            <w:tcMar>
              <w:bottom w:w="0" w:type="dxa"/>
            </w:tcMar>
            <w:vAlign w:val="center"/>
          </w:tcPr>
          <w:p>
            <w:pPr>
              <w:pStyle w:val="TableContents"/>
              <w:bidi w:val="0"/>
              <w:spacing w:before="0" w:after="283"/>
              <w:jc w:val="right"/>
              <w:rPr/>
            </w:pPr>
            <w:r>
              <w:rPr/>
              <w:t>63.3%</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Performance-Based Cash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our NEOs were entitled under their employment agreements to participate in the AIP with the following targets, expressed as a percentage of base salary: Mr. Morris, 100%; Mr. Murphy, 75%; Mr. Dempsey, 50%; Mr. Guthrie, 75%; and Mr. Moore, 75%. These AIP targets are consistent with the target levels for those individuals in 2022 (other than the increase for Mr. Moore from 50% to 75% and the increase from Mr. Guthrie from 50% to 75%). In connection with Mr. Moore’s new role as Executive Vice President, Consumer Payments, the Compensation Committee increased his annual performance-based cash bonus target. In recognition of Mr. Guthrie’s exceptional performance, the critical importance of the role of Chief Technology Officer to Repay’s business and the competitive review of market data suggesting Mr. Gutherie’s compensation was below the median, the Compensation Committee increased his annual performance-based cash bonus target.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establishes AIP targets during the first quarter of the fiscal year. When establishing the 2023 Adjusted EBITDA target for the AIP opportunity, the Committee noted that the 2023 Adjusted EBITDA target exceeded 2022 actual Adjusted EBITDA results despite 2022 actual results including (a) a full year contribution from the Blue Cow Software business in 2022 (which was divested in February 2023) and (b) contributions from political media clients (which would not be realized in 2023 as a non-election year). Individual performance results are also factored into the AIP opportunity. For fiscal year 2023, the Compensation Committee established the performance goals under the AIP, which are summarized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3223"/>
        <w:gridCol w:w="109"/>
        <w:gridCol w:w="109"/>
        <w:gridCol w:w="1680"/>
        <w:gridCol w:w="109"/>
        <w:gridCol w:w="109"/>
        <w:gridCol w:w="1678"/>
        <w:gridCol w:w="109"/>
        <w:gridCol w:w="109"/>
        <w:gridCol w:w="177"/>
        <w:gridCol w:w="177"/>
        <w:gridCol w:w="761"/>
        <w:gridCol w:w="179"/>
        <w:gridCol w:w="159"/>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3223"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Performance Objective: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80" w:type="dxa"/>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Adjusted EBITDA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78" w:type="dxa"/>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Consumer </w:t>
              <w:br/>
              <w:t xml:space="preserve">Payments Business </w:t>
              <w:br/>
              <w:t xml:space="preserve">Unit Gross Profit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94"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Individual </w:t>
              <w:br/>
              <w:t xml:space="preserve">Performance </w:t>
            </w:r>
          </w:p>
        </w:tc>
        <w:tc>
          <w:tcPr>
            <w:tcW w:w="159"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3223" w:type="dxa"/>
            <w:tcBorders/>
            <w:shd w:fill="CCCCCC" w:val="clear"/>
            <w:tcMar>
              <w:bottom w:w="0" w:type="dxa"/>
            </w:tcMar>
            <w:vAlign w:val="center"/>
          </w:tcPr>
          <w:p>
            <w:pPr>
              <w:pStyle w:val="TableContents"/>
              <w:bidi w:val="0"/>
              <w:spacing w:before="0" w:after="0"/>
              <w:ind w:left="200" w:right="0" w:hanging="200"/>
              <w:jc w:val="left"/>
              <w:rPr/>
            </w:pPr>
            <w:r>
              <w:rPr>
                <w:spacing w:val="4"/>
              </w:rPr>
              <w:t>Weighting among performance objectives (except for Mr. Moore)</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80" w:type="dxa"/>
            <w:tcBorders/>
            <w:shd w:fill="CCCCCC" w:val="clear"/>
            <w:tcMar>
              <w:bottom w:w="0" w:type="dxa"/>
            </w:tcMar>
            <w:vAlign w:val="center"/>
          </w:tcPr>
          <w:p>
            <w:pPr>
              <w:pStyle w:val="TableContents"/>
              <w:bidi w:val="0"/>
              <w:spacing w:before="0" w:after="0"/>
              <w:jc w:val="center"/>
              <w:rPr>
                <w:spacing w:val="4"/>
              </w:rPr>
            </w:pPr>
            <w:r>
              <w:rPr>
                <w:spacing w:val="4"/>
              </w:rPr>
              <w:t xml:space="preserve">75%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78" w:type="dxa"/>
            <w:tcBorders/>
            <w:shd w:fill="CCCCCC" w:val="clear"/>
            <w:tcMar>
              <w:bottom w:w="0" w:type="dxa"/>
            </w:tcMar>
            <w:vAlign w:val="center"/>
          </w:tcPr>
          <w:p>
            <w:pPr>
              <w:pStyle w:val="TableContents"/>
              <w:bidi w:val="0"/>
              <w:spacing w:before="0" w:after="0"/>
              <w:jc w:val="center"/>
              <w:rPr>
                <w:spacing w:val="4"/>
              </w:rPr>
            </w:pPr>
            <w:r>
              <w:rPr>
                <w:spacing w:val="4"/>
              </w:rPr>
              <w:t xml:space="preserve">0%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761" w:type="dxa"/>
            <w:tcBorders/>
            <w:shd w:fill="CCCCCC" w:val="clear"/>
            <w:tcMar>
              <w:bottom w:w="0" w:type="dxa"/>
            </w:tcMar>
            <w:vAlign w:val="center"/>
          </w:tcPr>
          <w:p>
            <w:pPr>
              <w:pStyle w:val="TableContents"/>
              <w:bidi w:val="0"/>
              <w:spacing w:before="0" w:after="283"/>
              <w:jc w:val="right"/>
              <w:rPr/>
            </w:pPr>
            <w:r>
              <w:rPr/>
              <w:t>25%</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23" w:type="dxa"/>
            <w:tcBorders/>
            <w:tcMar>
              <w:bottom w:w="0" w:type="dxa"/>
            </w:tcMar>
            <w:vAlign w:val="center"/>
          </w:tcPr>
          <w:p>
            <w:pPr>
              <w:pStyle w:val="TableContents"/>
              <w:bidi w:val="0"/>
              <w:spacing w:before="0" w:after="283"/>
              <w:jc w:val="left"/>
              <w:rPr>
                <w:spacing w:val="4"/>
              </w:rPr>
            </w:pPr>
            <w:r>
              <w:rPr>
                <w:spacing w:val="4"/>
              </w:rPr>
              <w:t xml:space="preserve">Weighting among performance objectives (for Mr. Moore)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8" w:type="dxa"/>
            <w:tcBorders/>
            <w:tcMar>
              <w:bottom w:w="0" w:type="dxa"/>
            </w:tcMar>
            <w:vAlign w:val="center"/>
          </w:tcPr>
          <w:p>
            <w:pPr>
              <w:pStyle w:val="TableContents"/>
              <w:bidi w:val="0"/>
              <w:spacing w:before="0" w:after="0"/>
              <w:jc w:val="center"/>
              <w:rPr>
                <w:spacing w:val="4"/>
              </w:rPr>
            </w:pPr>
            <w:r>
              <w:rPr>
                <w:spacing w:val="4"/>
              </w:rPr>
              <w:t xml:space="preserve">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61" w:type="dxa"/>
            <w:tcBorders/>
            <w:tcMar>
              <w:bottom w:w="0" w:type="dxa"/>
            </w:tcMar>
            <w:vAlign w:val="center"/>
          </w:tcPr>
          <w:p>
            <w:pPr>
              <w:pStyle w:val="TableContents"/>
              <w:bidi w:val="0"/>
              <w:spacing w:before="0" w:after="283"/>
              <w:jc w:val="right"/>
              <w:rPr/>
            </w:pPr>
            <w:r>
              <w:rPr/>
              <w:t>25%</w:t>
            </w:r>
          </w:p>
        </w:tc>
        <w:tc>
          <w:tcPr>
            <w:tcW w:w="17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3223" w:type="dxa"/>
            <w:tcBorders/>
            <w:shd w:fill="CCCCCC" w:val="clear"/>
            <w:tcMar>
              <w:bottom w:w="0" w:type="dxa"/>
            </w:tcMar>
            <w:vAlign w:val="center"/>
          </w:tcPr>
          <w:p>
            <w:pPr>
              <w:pStyle w:val="TableContents"/>
              <w:bidi w:val="0"/>
              <w:spacing w:before="0" w:after="283"/>
              <w:jc w:val="left"/>
              <w:rPr>
                <w:spacing w:val="4"/>
              </w:rPr>
            </w:pPr>
            <w:r>
              <w:rPr>
                <w:spacing w:val="4"/>
              </w:rPr>
              <w:t xml:space="preserve">Threshold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80" w:type="dxa"/>
            <w:tcBorders/>
            <w:shd w:fill="CCCCCC" w:val="clear"/>
            <w:tcMar>
              <w:bottom w:w="0" w:type="dxa"/>
            </w:tcMar>
            <w:vAlign w:val="center"/>
          </w:tcPr>
          <w:p>
            <w:pPr>
              <w:pStyle w:val="TableContents"/>
              <w:bidi w:val="0"/>
              <w:spacing w:before="0" w:after="0"/>
              <w:jc w:val="center"/>
              <w:rPr>
                <w:spacing w:val="4"/>
              </w:rPr>
            </w:pPr>
            <w:r>
              <w:rPr>
                <w:spacing w:val="4"/>
              </w:rPr>
              <w:t xml:space="preserve">$113.0 million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78" w:type="dxa"/>
            <w:tcBorders/>
            <w:shd w:fill="CCCCCC" w:val="clear"/>
            <w:tcMar>
              <w:bottom w:w="0" w:type="dxa"/>
            </w:tcMar>
            <w:vAlign w:val="center"/>
          </w:tcPr>
          <w:p>
            <w:pPr>
              <w:pStyle w:val="TableContents"/>
              <w:bidi w:val="0"/>
              <w:spacing w:before="0" w:after="0"/>
              <w:jc w:val="center"/>
              <w:rPr>
                <w:spacing w:val="4"/>
              </w:rPr>
            </w:pPr>
            <w:r>
              <w:rPr>
                <w:spacing w:val="4"/>
              </w:rPr>
              <w:t xml:space="preserve">$160.0 million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761" w:type="dxa"/>
            <w:tcBorders/>
            <w:shd w:fill="CCCCCC" w:val="clear"/>
            <w:tcMar>
              <w:bottom w:w="0" w:type="dxa"/>
            </w:tcMar>
            <w:vAlign w:val="center"/>
          </w:tcPr>
          <w:p>
            <w:pPr>
              <w:pStyle w:val="TableContents"/>
              <w:bidi w:val="0"/>
              <w:spacing w:before="0" w:after="283"/>
              <w:jc w:val="right"/>
              <w:rPr/>
            </w:pPr>
            <w:r>
              <w:rPr/>
              <w:t>50%</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23" w:type="dxa"/>
            <w:tcBorders/>
            <w:tcMar>
              <w:bottom w:w="0" w:type="dxa"/>
            </w:tcMar>
            <w:vAlign w:val="center"/>
          </w:tcPr>
          <w:p>
            <w:pPr>
              <w:pStyle w:val="TableContents"/>
              <w:bidi w:val="0"/>
              <w:spacing w:before="0" w:after="283"/>
              <w:jc w:val="left"/>
              <w:rPr>
                <w:spacing w:val="4"/>
              </w:rPr>
            </w:pPr>
            <w:r>
              <w:rPr>
                <w:spacing w:val="4"/>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0" w:type="dxa"/>
            <w:tcBorders/>
            <w:tcMar>
              <w:bottom w:w="0" w:type="dxa"/>
            </w:tcMar>
            <w:vAlign w:val="center"/>
          </w:tcPr>
          <w:p>
            <w:pPr>
              <w:pStyle w:val="TableContents"/>
              <w:bidi w:val="0"/>
              <w:spacing w:before="0" w:after="0"/>
              <w:jc w:val="center"/>
              <w:rPr>
                <w:spacing w:val="4"/>
              </w:rPr>
            </w:pPr>
            <w:r>
              <w:rPr>
                <w:spacing w:val="4"/>
              </w:rPr>
              <w:t xml:space="preserve">$130.0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8" w:type="dxa"/>
            <w:tcBorders/>
            <w:tcMar>
              <w:bottom w:w="0" w:type="dxa"/>
            </w:tcMar>
            <w:vAlign w:val="center"/>
          </w:tcPr>
          <w:p>
            <w:pPr>
              <w:pStyle w:val="TableContents"/>
              <w:bidi w:val="0"/>
              <w:spacing w:before="0" w:after="0"/>
              <w:jc w:val="center"/>
              <w:rPr>
                <w:spacing w:val="4"/>
              </w:rPr>
            </w:pPr>
            <w:r>
              <w:rPr>
                <w:spacing w:val="4"/>
              </w:rPr>
              <w:t xml:space="preserve">$184.0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61" w:type="dxa"/>
            <w:tcBorders/>
            <w:tcMar>
              <w:bottom w:w="0" w:type="dxa"/>
            </w:tcMar>
            <w:vAlign w:val="center"/>
          </w:tcPr>
          <w:p>
            <w:pPr>
              <w:pStyle w:val="TableContents"/>
              <w:bidi w:val="0"/>
              <w:spacing w:before="0" w:after="283"/>
              <w:jc w:val="right"/>
              <w:rPr/>
            </w:pPr>
            <w:r>
              <w:rPr/>
              <w:t>100%</w:t>
            </w:r>
          </w:p>
        </w:tc>
        <w:tc>
          <w:tcPr>
            <w:tcW w:w="17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3223" w:type="dxa"/>
            <w:tcBorders/>
            <w:shd w:fill="CCCCCC" w:val="clear"/>
            <w:tcMar>
              <w:bottom w:w="0" w:type="dxa"/>
            </w:tcMar>
            <w:vAlign w:val="center"/>
          </w:tcPr>
          <w:p>
            <w:pPr>
              <w:pStyle w:val="TableContents"/>
              <w:bidi w:val="0"/>
              <w:spacing w:before="0" w:after="283"/>
              <w:jc w:val="left"/>
              <w:rPr>
                <w:spacing w:val="4"/>
              </w:rPr>
            </w:pPr>
            <w:r>
              <w:rPr>
                <w:spacing w:val="4"/>
              </w:rPr>
              <w:t xml:space="preserve">Maximum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80" w:type="dxa"/>
            <w:tcBorders/>
            <w:shd w:fill="CCCCCC" w:val="clear"/>
            <w:tcMar>
              <w:bottom w:w="0" w:type="dxa"/>
            </w:tcMar>
            <w:vAlign w:val="center"/>
          </w:tcPr>
          <w:p>
            <w:pPr>
              <w:pStyle w:val="TableContents"/>
              <w:bidi w:val="0"/>
              <w:spacing w:before="0" w:after="0"/>
              <w:jc w:val="center"/>
              <w:rPr>
                <w:spacing w:val="4"/>
              </w:rPr>
            </w:pPr>
            <w:r>
              <w:rPr>
                <w:spacing w:val="4"/>
              </w:rPr>
              <w:t xml:space="preserve">$148.0 million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78" w:type="dxa"/>
            <w:tcBorders/>
            <w:shd w:fill="CCCCCC" w:val="clear"/>
            <w:tcMar>
              <w:bottom w:w="0" w:type="dxa"/>
            </w:tcMar>
            <w:vAlign w:val="center"/>
          </w:tcPr>
          <w:p>
            <w:pPr>
              <w:pStyle w:val="TableContents"/>
              <w:bidi w:val="0"/>
              <w:spacing w:before="0" w:after="0"/>
              <w:jc w:val="center"/>
              <w:rPr>
                <w:spacing w:val="4"/>
              </w:rPr>
            </w:pPr>
            <w:r>
              <w:rPr>
                <w:spacing w:val="4"/>
              </w:rPr>
              <w:t xml:space="preserve">$210.0 million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761" w:type="dxa"/>
            <w:tcBorders/>
            <w:shd w:fill="CCCCCC" w:val="clear"/>
            <w:tcMar>
              <w:bottom w:w="0" w:type="dxa"/>
            </w:tcMar>
            <w:vAlign w:val="center"/>
          </w:tcPr>
          <w:p>
            <w:pPr>
              <w:pStyle w:val="TableContents"/>
              <w:bidi w:val="0"/>
              <w:spacing w:before="0" w:after="283"/>
              <w:jc w:val="right"/>
              <w:rPr/>
            </w:pPr>
            <w:r>
              <w:rPr/>
              <w:t>200%</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actual performance of a financial metric does not meet the threshold, no award will be earned for that financial goal. If the actual performance of financial metric reaches the threshold, the award earned for that financial goal will be 50% of the target. The award earned for results between the threshold and the target and between the target and the maximum of 200% of the target is calculated using straight-line interpolation. The maximum incentive award for any NEO is 200% of his target bonus. The target performance goals under the 2023 AIP were set at an aggressive level that would require the Company to achieve the performance expected under its demanding operating plan. Therefore, although the Company reported a solid performance and growth across its business, the rigorous targets were not all met.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Adjusted EBITDA was $126.9 million (resulting in a payout of 90% of the target for that objective) and Consumer Payments Business Unit Gross Profit was $185.8 million (resulting in a payout of 107.1% of the target for that objective). The Consumer Payments Business Unit Gross Profit metrics were established and calculated to exclude contributions from the Blue Cow Software business (divested in February 2023) and the Repay Clearing and Settlement (RCS) platform.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the level of achievement in 2023 of each NEO for the portion of the AIP attributable to individual goals, the Compensation Committee reviewed each NEO’s level of achievement of specific objectives that were established in the first quarter of 2023. A summary of the categories and weighting of objectives for each NEO, as well as the Compensation Committee’s determination of the level of achievement, is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5" w:type="dxa"/>
          <w:right w:w="0" w:type="dxa"/>
        </w:tblCellMar>
      </w:tblPr>
      <w:tblGrid>
        <w:gridCol w:w="1299"/>
        <w:gridCol w:w="109"/>
        <w:gridCol w:w="109"/>
        <w:gridCol w:w="4269"/>
        <w:gridCol w:w="109"/>
        <w:gridCol w:w="109"/>
        <w:gridCol w:w="175"/>
        <w:gridCol w:w="175"/>
        <w:gridCol w:w="558"/>
        <w:gridCol w:w="177"/>
        <w:gridCol w:w="109"/>
        <w:gridCol w:w="109"/>
        <w:gridCol w:w="184"/>
        <w:gridCol w:w="184"/>
        <w:gridCol w:w="793"/>
        <w:gridCol w:w="186"/>
        <w:gridCol w:w="158"/>
      </w:tblGrid>
      <w:tr>
        <w:trPr/>
        <w:tc>
          <w:tcPr>
            <w:tcW w:w="129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69" w:type="dxa"/>
            <w:tcBorders>
              <w:bottom w:val="single" w:sz="2" w:space="0" w:color="000000"/>
            </w:tcBorders>
            <w:vAlign w:val="center"/>
          </w:tcPr>
          <w:p>
            <w:pPr>
              <w:pStyle w:val="TableContents"/>
              <w:bidi w:val="0"/>
              <w:spacing w:before="0" w:after="0"/>
              <w:jc w:val="center"/>
              <w:rPr>
                <w:spacing w:val="-3"/>
              </w:rPr>
            </w:pPr>
            <w:r>
              <w:rPr>
                <w:spacing w:val="-3"/>
              </w:rPr>
              <w:t xml:space="preserve">Objective Category —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Achievement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99"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John Morris</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Business Units — Client and prospect meetings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lineRule="atLeast" w:line="240" w:before="0" w:after="283"/>
              <w:jc w:val="right"/>
              <w:rPr/>
            </w:pPr>
            <w:r>
              <w:rPr/>
              <w:t>​</w:t>
            </w:r>
          </w:p>
        </w:tc>
        <w:tc>
          <w:tcPr>
            <w:tcW w:w="558" w:type="dxa"/>
            <w:tcBorders/>
            <w:shd w:fill="CBCBCB" w:val="clear"/>
            <w:tcMar>
              <w:bottom w:w="0" w:type="dxa"/>
            </w:tcMar>
            <w:vAlign w:val="center"/>
          </w:tcPr>
          <w:p>
            <w:pPr>
              <w:pStyle w:val="TableContents"/>
              <w:bidi w:val="0"/>
              <w:spacing w:lineRule="atLeast" w:line="240" w:before="0" w:after="283"/>
              <w:jc w:val="right"/>
              <w:rPr/>
            </w:pPr>
            <w:r>
              <w:rPr/>
              <w:t>25%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lineRule="atLeast" w:line="240" w:before="0" w:after="283"/>
              <w:jc w:val="right"/>
              <w:rPr/>
            </w:pPr>
            <w:r>
              <w:rPr/>
              <w:t>​</w:t>
            </w:r>
          </w:p>
        </w:tc>
        <w:tc>
          <w:tcPr>
            <w:tcW w:w="793" w:type="dxa"/>
            <w:tcBorders/>
            <w:shd w:fill="CBCBCB" w:val="clear"/>
            <w:tcMar>
              <w:bottom w:w="0" w:type="dxa"/>
            </w:tcMar>
            <w:vAlign w:val="center"/>
          </w:tcPr>
          <w:p>
            <w:pPr>
              <w:pStyle w:val="TableContents"/>
              <w:bidi w:val="0"/>
              <w:spacing w:lineRule="atLeast" w:line="240"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Strategic Planning — Business intelligence initiative and </w:t>
              <w:br/>
              <w:t xml:space="preserve">segment reporting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75%</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Product — Evaluation of new payment modalities and sponsor bank relationships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People/Talent — Executive succession planning and other hiring initiatives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Investor Relations — Investor conferences, top shareholder meetings and related items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20%</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Board Relations — Individual board member meetings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20%</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restart"/>
            <w:tcBorders/>
            <w:tcMar>
              <w:bottom w:w="0" w:type="dxa"/>
            </w:tcMar>
            <w:vAlign w:val="center"/>
          </w:tcPr>
          <w:p>
            <w:pPr>
              <w:pStyle w:val="TableContents"/>
              <w:bidi w:val="0"/>
              <w:spacing w:lineRule="atLeast" w:line="240" w:before="0" w:after="0"/>
              <w:jc w:val="left"/>
              <w:rPr>
                <w:b/>
              </w:rPr>
            </w:pPr>
            <w:r>
              <w:rPr>
                <w:b/>
                <w:spacing w:val="-4"/>
              </w:rPr>
              <w:t>Timothy J. Murphy</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lineRule="atLeast" w:line="240" w:before="0" w:after="0"/>
              <w:jc w:val="left"/>
              <w:rPr>
                <w:spacing w:val="4"/>
              </w:rPr>
            </w:pPr>
            <w:r>
              <w:rPr>
                <w:spacing w:val="4"/>
              </w:rPr>
              <w:t xml:space="preserve">Corporate Development and Strategy — Capital allocation and capital structure evaluation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lineRule="atLeast" w:line="240" w:before="0" w:after="283"/>
              <w:jc w:val="right"/>
              <w:rPr/>
            </w:pPr>
            <w:r>
              <w:rPr/>
              <w:t>​</w:t>
            </w:r>
          </w:p>
        </w:tc>
        <w:tc>
          <w:tcPr>
            <w:tcW w:w="558" w:type="dxa"/>
            <w:tcBorders/>
            <w:tcMar>
              <w:bottom w:w="0" w:type="dxa"/>
            </w:tcMar>
            <w:vAlign w:val="center"/>
          </w:tcPr>
          <w:p>
            <w:pPr>
              <w:pStyle w:val="TableContents"/>
              <w:bidi w:val="0"/>
              <w:spacing w:lineRule="atLeast" w:line="240" w:before="0" w:after="283"/>
              <w:jc w:val="right"/>
              <w:rPr/>
            </w:pPr>
            <w:r>
              <w:rPr/>
              <w:t>20%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lineRule="atLeast" w:line="240" w:before="0" w:after="283"/>
              <w:jc w:val="right"/>
              <w:rPr/>
            </w:pPr>
            <w:r>
              <w:rPr/>
              <w:t>​</w:t>
            </w:r>
          </w:p>
        </w:tc>
        <w:tc>
          <w:tcPr>
            <w:tcW w:w="793" w:type="dxa"/>
            <w:tcBorders/>
            <w:tcMar>
              <w:bottom w:w="0" w:type="dxa"/>
            </w:tcMar>
            <w:vAlign w:val="center"/>
          </w:tcPr>
          <w:p>
            <w:pPr>
              <w:pStyle w:val="TableContents"/>
              <w:bidi w:val="0"/>
              <w:spacing w:lineRule="atLeast" w:line="240"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Investor Relations — Investor conferences and related items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25%</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Accounting — Segment reporting, accounts payable automation and accounting systems integration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25%</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90%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FP&amp;A and Revenue Accounting — Data automation initiative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People/Talent — Hiring initiatives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10%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Tyler B. Dempsey</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Outside Counsel — Legal spend management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lineRule="atLeast" w:line="240" w:before="0" w:after="283"/>
              <w:jc w:val="right"/>
              <w:rPr/>
            </w:pPr>
            <w:r>
              <w:rPr/>
              <w:t>​</w:t>
            </w:r>
          </w:p>
        </w:tc>
        <w:tc>
          <w:tcPr>
            <w:tcW w:w="558" w:type="dxa"/>
            <w:tcBorders/>
            <w:shd w:fill="CBCBCB" w:val="clear"/>
            <w:tcMar>
              <w:bottom w:w="0" w:type="dxa"/>
            </w:tcMar>
            <w:vAlign w:val="center"/>
          </w:tcPr>
          <w:p>
            <w:pPr>
              <w:pStyle w:val="TableContents"/>
              <w:bidi w:val="0"/>
              <w:spacing w:lineRule="atLeast" w:line="240" w:before="0" w:after="283"/>
              <w:jc w:val="right"/>
              <w:rPr/>
            </w:pPr>
            <w:r>
              <w:rPr/>
              <w:t>25%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lineRule="atLeast" w:line="240" w:before="0" w:after="283"/>
              <w:jc w:val="right"/>
              <w:rPr/>
            </w:pPr>
            <w:r>
              <w:rPr/>
              <w:t>​</w:t>
            </w:r>
          </w:p>
        </w:tc>
        <w:tc>
          <w:tcPr>
            <w:tcW w:w="793" w:type="dxa"/>
            <w:tcBorders/>
            <w:shd w:fill="CBCBCB" w:val="clear"/>
            <w:tcMar>
              <w:bottom w:w="0" w:type="dxa"/>
            </w:tcMar>
            <w:vAlign w:val="center"/>
          </w:tcPr>
          <w:p>
            <w:pPr>
              <w:pStyle w:val="TableContents"/>
              <w:bidi w:val="0"/>
              <w:spacing w:lineRule="atLeast" w:line="240"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Legal Department — Headcount management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25%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Client Contracting — Development of new client contracting approach.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25%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Privacy — State law data privacy compliance program updates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Vendor &amp; Contract Management — New solution </w:t>
              <w:br/>
              <w:t xml:space="preserve">rollout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10%</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90%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restart"/>
            <w:tcBorders/>
            <w:tcMar>
              <w:bottom w:w="0" w:type="dxa"/>
            </w:tcMar>
            <w:vAlign w:val="center"/>
          </w:tcPr>
          <w:p>
            <w:pPr>
              <w:pStyle w:val="TableContents"/>
              <w:bidi w:val="0"/>
              <w:spacing w:lineRule="atLeast" w:line="240" w:before="0" w:after="0"/>
              <w:jc w:val="left"/>
              <w:rPr>
                <w:b/>
              </w:rPr>
            </w:pPr>
            <w:r>
              <w:rPr>
                <w:b/>
                <w:spacing w:val="-4"/>
              </w:rPr>
              <w:t>David Guthrie</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lineRule="atLeast" w:line="240" w:before="0" w:after="0"/>
              <w:jc w:val="left"/>
              <w:rPr>
                <w:spacing w:val="4"/>
              </w:rPr>
            </w:pPr>
            <w:r>
              <w:rPr>
                <w:spacing w:val="4"/>
              </w:rPr>
              <w:t xml:space="preserve">Product &amp; Engineering — Implementation of various product, platform and integration enhancements and upgrades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lineRule="atLeast" w:line="240" w:before="0" w:after="283"/>
              <w:jc w:val="right"/>
              <w:rPr/>
            </w:pPr>
            <w:r>
              <w:rPr/>
              <w:t>​</w:t>
            </w:r>
          </w:p>
        </w:tc>
        <w:tc>
          <w:tcPr>
            <w:tcW w:w="558" w:type="dxa"/>
            <w:tcBorders/>
            <w:tcMar>
              <w:bottom w:w="0" w:type="dxa"/>
            </w:tcMar>
            <w:vAlign w:val="center"/>
          </w:tcPr>
          <w:p>
            <w:pPr>
              <w:pStyle w:val="TableContents"/>
              <w:bidi w:val="0"/>
              <w:spacing w:lineRule="atLeast" w:line="240" w:before="0" w:after="283"/>
              <w:jc w:val="right"/>
              <w:rPr/>
            </w:pPr>
            <w:r>
              <w:rPr/>
              <w:t>30%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lineRule="atLeast" w:line="240" w:before="0" w:after="283"/>
              <w:jc w:val="right"/>
              <w:rPr/>
            </w:pPr>
            <w:r>
              <w:rPr/>
              <w:t>​</w:t>
            </w:r>
          </w:p>
        </w:tc>
        <w:tc>
          <w:tcPr>
            <w:tcW w:w="793" w:type="dxa"/>
            <w:tcBorders/>
            <w:tcMar>
              <w:bottom w:w="0" w:type="dxa"/>
            </w:tcMar>
            <w:vAlign w:val="center"/>
          </w:tcPr>
          <w:p>
            <w:pPr>
              <w:pStyle w:val="TableContents"/>
              <w:bidi w:val="0"/>
              <w:spacing w:lineRule="atLeast" w:line="240"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Security — Multi-factor authentication implementation </w:t>
              <w:br/>
              <w:t xml:space="preserve">and data retention updates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Data — Various initiatives relating to finance </w:t>
              <w:br/>
              <w:t xml:space="preserve">automation, data governance and data quality initiatives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Budget — Engagement of procurement resource and technology expense management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10%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4269" w:type="dxa"/>
            <w:tcBorders/>
            <w:tcMar>
              <w:bottom w:w="0" w:type="dxa"/>
            </w:tcMar>
            <w:vAlign w:val="center"/>
          </w:tcPr>
          <w:p>
            <w:pPr>
              <w:pStyle w:val="TableContents"/>
              <w:bidi w:val="0"/>
              <w:spacing w:before="0" w:after="283"/>
              <w:jc w:val="left"/>
              <w:rPr>
                <w:spacing w:val="4"/>
              </w:rPr>
            </w:pPr>
            <w:r>
              <w:rPr>
                <w:spacing w:val="4"/>
              </w:rPr>
              <w:t xml:space="preserve">People — Hiring initiatives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right"/>
              <w:rPr/>
            </w:pPr>
            <w:r>
              <w:rPr/>
              <w:t>​</w:t>
            </w:r>
          </w:p>
        </w:tc>
        <w:tc>
          <w:tcPr>
            <w:tcW w:w="558" w:type="dxa"/>
            <w:tcBorders/>
            <w:tcMar>
              <w:bottom w:w="0" w:type="dxa"/>
            </w:tcMar>
            <w:vAlign w:val="center"/>
          </w:tcPr>
          <w:p>
            <w:pPr>
              <w:pStyle w:val="TableContents"/>
              <w:bidi w:val="0"/>
              <w:spacing w:before="0" w:after="283"/>
              <w:jc w:val="right"/>
              <w:rPr/>
            </w:pPr>
            <w:r>
              <w:rPr/>
              <w:t>20%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100%</w:t>
            </w:r>
          </w:p>
        </w:tc>
        <w:tc>
          <w:tcPr>
            <w:tcW w:w="18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Jacob H. Moore</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Strategic Planning — Various initiatives relating to go-to-market strategy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lineRule="atLeast" w:line="240" w:before="0" w:after="283"/>
              <w:jc w:val="right"/>
              <w:rPr/>
            </w:pPr>
            <w:r>
              <w:rPr/>
              <w:t>​</w:t>
            </w:r>
          </w:p>
        </w:tc>
        <w:tc>
          <w:tcPr>
            <w:tcW w:w="558" w:type="dxa"/>
            <w:tcBorders/>
            <w:shd w:fill="CBCBCB" w:val="clear"/>
            <w:tcMar>
              <w:bottom w:w="0" w:type="dxa"/>
            </w:tcMar>
            <w:vAlign w:val="center"/>
          </w:tcPr>
          <w:p>
            <w:pPr>
              <w:pStyle w:val="TableContents"/>
              <w:bidi w:val="0"/>
              <w:spacing w:lineRule="atLeast" w:line="240" w:before="0" w:after="283"/>
              <w:jc w:val="right"/>
              <w:rPr/>
            </w:pPr>
            <w:r>
              <w:rPr/>
              <w:t>25%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lineRule="atLeast" w:line="240" w:before="0" w:after="283"/>
              <w:jc w:val="right"/>
              <w:rPr/>
            </w:pPr>
            <w:r>
              <w:rPr/>
              <w:t>​</w:t>
            </w:r>
          </w:p>
        </w:tc>
        <w:tc>
          <w:tcPr>
            <w:tcW w:w="793" w:type="dxa"/>
            <w:tcBorders/>
            <w:shd w:fill="CBCBCB" w:val="clear"/>
            <w:tcMar>
              <w:bottom w:w="0" w:type="dxa"/>
            </w:tcMar>
            <w:vAlign w:val="center"/>
          </w:tcPr>
          <w:p>
            <w:pPr>
              <w:pStyle w:val="TableContents"/>
              <w:bidi w:val="0"/>
              <w:spacing w:lineRule="atLeast" w:line="240"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0"/>
              <w:jc w:val="left"/>
              <w:rPr>
                <w:spacing w:val="4"/>
              </w:rPr>
            </w:pPr>
            <w:r>
              <w:rPr>
                <w:spacing w:val="4"/>
              </w:rPr>
              <w:t xml:space="preserve">Client Relationship Management — Top client meetings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Operational Performance — Implementations department restructuring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New Client Development — New large client prospect efforts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100%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New Product Sales — Mortgage vertical sales and integration initiatives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80%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99"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4269" w:type="dxa"/>
            <w:tcBorders/>
            <w:shd w:fill="CBCBCB" w:val="clear"/>
            <w:tcMar>
              <w:bottom w:w="0" w:type="dxa"/>
            </w:tcMar>
            <w:vAlign w:val="center"/>
          </w:tcPr>
          <w:p>
            <w:pPr>
              <w:pStyle w:val="TableContents"/>
              <w:bidi w:val="0"/>
              <w:spacing w:before="0" w:after="283"/>
              <w:jc w:val="left"/>
              <w:rPr>
                <w:spacing w:val="4"/>
              </w:rPr>
            </w:pPr>
            <w:r>
              <w:rPr>
                <w:spacing w:val="4"/>
              </w:rPr>
              <w:t xml:space="preserve">Acquisition Integration — Payix integration </w:t>
              <w:br/>
              <w:t xml:space="preserve">workstreams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left"/>
              <w:rPr/>
            </w:pPr>
            <w:r>
              <w:rPr/>
              <w:t>​</w:t>
            </w:r>
          </w:p>
        </w:tc>
        <w:tc>
          <w:tcPr>
            <w:tcW w:w="175" w:type="dxa"/>
            <w:tcBorders/>
            <w:shd w:fill="CBCBCB" w:val="clear"/>
            <w:tcMar>
              <w:bottom w:w="0" w:type="dxa"/>
            </w:tcMar>
            <w:vAlign w:val="center"/>
          </w:tcPr>
          <w:p>
            <w:pPr>
              <w:pStyle w:val="TableContents"/>
              <w:bidi w:val="0"/>
              <w:spacing w:before="0" w:after="283"/>
              <w:jc w:val="right"/>
              <w:rPr/>
            </w:pPr>
            <w:r>
              <w:rPr/>
              <w:t>​</w:t>
            </w:r>
          </w:p>
        </w:tc>
        <w:tc>
          <w:tcPr>
            <w:tcW w:w="558" w:type="dxa"/>
            <w:tcBorders/>
            <w:shd w:fill="CBCBCB" w:val="clear"/>
            <w:tcMar>
              <w:bottom w:w="0" w:type="dxa"/>
            </w:tcMar>
            <w:vAlign w:val="center"/>
          </w:tcPr>
          <w:p>
            <w:pPr>
              <w:pStyle w:val="TableContents"/>
              <w:bidi w:val="0"/>
              <w:spacing w:before="0" w:after="283"/>
              <w:jc w:val="right"/>
              <w:rPr/>
            </w:pPr>
            <w:r>
              <w:rPr/>
              <w:t>15%</w:t>
            </w:r>
          </w:p>
        </w:tc>
        <w:tc>
          <w:tcPr>
            <w:tcW w:w="17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left"/>
              <w:rPr/>
            </w:pPr>
            <w:r>
              <w:rPr/>
              <w:t>​</w:t>
            </w:r>
          </w:p>
        </w:tc>
        <w:tc>
          <w:tcPr>
            <w:tcW w:w="184" w:type="dxa"/>
            <w:tcBorders/>
            <w:shd w:fill="CBCBCB" w:val="clear"/>
            <w:tcMar>
              <w:bottom w:w="0" w:type="dxa"/>
            </w:tcMar>
            <w:vAlign w:val="center"/>
          </w:tcPr>
          <w:p>
            <w:pPr>
              <w:pStyle w:val="TableContents"/>
              <w:bidi w:val="0"/>
              <w:spacing w:before="0" w:after="283"/>
              <w:jc w:val="right"/>
              <w:rPr/>
            </w:pPr>
            <w:r>
              <w:rPr/>
              <w:t>​</w:t>
            </w:r>
          </w:p>
        </w:tc>
        <w:tc>
          <w:tcPr>
            <w:tcW w:w="793" w:type="dxa"/>
            <w:tcBorders/>
            <w:shd w:fill="CBCBCB" w:val="clear"/>
            <w:tcMar>
              <w:bottom w:w="0" w:type="dxa"/>
            </w:tcMar>
            <w:vAlign w:val="center"/>
          </w:tcPr>
          <w:p>
            <w:pPr>
              <w:pStyle w:val="TableContents"/>
              <w:bidi w:val="0"/>
              <w:spacing w:before="0" w:after="283"/>
              <w:jc w:val="right"/>
              <w:rPr/>
            </w:pPr>
            <w:r>
              <w:rPr/>
              <w:t>90%</w:t>
            </w:r>
          </w:p>
        </w:tc>
        <w:tc>
          <w:tcPr>
            <w:tcW w:w="186" w:type="dxa"/>
            <w:tcBorders/>
            <w:shd w:fill="CBCBCB" w:val="clear"/>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 review of the specific objectives noted above, the Compensation Committee also reviewed other 2023 accomplishments for each NEO. For Messrs. Morris, Murphy, Dempsey and Guthrie, the Compensation Committee decided that the achievement of the weighted objectives would establish the payout for the portion of the AIP attributable to individual goals as follows: Mr. Morris, 96.3%; Mr. Murphy, 97.5%; Mr. Dempsey, 99%, and Mr. Guthrie, 100%. For Mr. Moore, in recognition of his overall contribution to the performance of the Consumer Payments business unit, the Compensation Committee decided to increase his weighted objectives by 3.5% so that the payout for the portion of the AIP attributable to individual goals would be 99%.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and actual annual performance-based incentives awards for each NEO under the 2023 AIP are detailed below: </w:t>
      </w:r>
    </w:p>
    <w:tbl>
      <w:tblPr>
        <w:tblW w:w="7528" w:type="dxa"/>
        <w:jc w:val="left"/>
        <w:tblInd w:w="1393" w:type="dxa"/>
        <w:tblLayout w:type="fixed"/>
        <w:tblCellMar>
          <w:top w:w="0" w:type="dxa"/>
          <w:left w:w="0" w:type="dxa"/>
          <w:bottom w:w="28" w:type="dxa"/>
          <w:right w:w="0" w:type="dxa"/>
        </w:tblCellMar>
      </w:tblPr>
      <w:tblGrid>
        <w:gridCol w:w="124"/>
        <w:gridCol w:w="2059"/>
        <w:gridCol w:w="109"/>
        <w:gridCol w:w="109"/>
        <w:gridCol w:w="154"/>
        <w:gridCol w:w="154"/>
        <w:gridCol w:w="1260"/>
        <w:gridCol w:w="157"/>
        <w:gridCol w:w="109"/>
        <w:gridCol w:w="109"/>
        <w:gridCol w:w="110"/>
        <w:gridCol w:w="110"/>
        <w:gridCol w:w="729"/>
        <w:gridCol w:w="110"/>
        <w:gridCol w:w="109"/>
        <w:gridCol w:w="109"/>
        <w:gridCol w:w="157"/>
        <w:gridCol w:w="157"/>
        <w:gridCol w:w="1282"/>
        <w:gridCol w:w="157"/>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059"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72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Target Bonus </w:t>
              <w:br/>
              <w:t xml:space="preserve">Opportunity ($)*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59"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Total </w:t>
              <w:br/>
              <w:t xml:space="preserve">Payout %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75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Actual 2023 AIP </w:t>
              <w:br/>
              <w:t xml:space="preserve">Cash Bonus </w:t>
              <w:br/>
              <w:t xml:space="preserve">Awards ($)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right"/>
              <w:rPr/>
            </w:pPr>
            <w:r>
              <w:rPr/>
              <w:t>​</w:t>
            </w:r>
          </w:p>
        </w:tc>
        <w:tc>
          <w:tcPr>
            <w:tcW w:w="1260" w:type="dxa"/>
            <w:tcBorders/>
            <w:shd w:fill="CCCCCC" w:val="clear"/>
            <w:tcMar>
              <w:bottom w:w="0" w:type="dxa"/>
            </w:tcMar>
            <w:vAlign w:val="center"/>
          </w:tcPr>
          <w:p>
            <w:pPr>
              <w:pStyle w:val="TableContents"/>
              <w:bidi w:val="0"/>
              <w:spacing w:before="0" w:after="283"/>
              <w:jc w:val="right"/>
              <w:rPr/>
            </w:pPr>
            <w:r>
              <w:rPr/>
              <w:t>500,000</w:t>
            </w:r>
          </w:p>
        </w:tc>
        <w:tc>
          <w:tcPr>
            <w:tcW w:w="157"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right"/>
              <w:rPr/>
            </w:pPr>
            <w:r>
              <w:rPr/>
              <w:t>​</w:t>
            </w:r>
          </w:p>
        </w:tc>
        <w:tc>
          <w:tcPr>
            <w:tcW w:w="729" w:type="dxa"/>
            <w:tcBorders/>
            <w:shd w:fill="CCCCCC" w:val="clear"/>
            <w:tcMar>
              <w:bottom w:w="0" w:type="dxa"/>
            </w:tcMar>
            <w:vAlign w:val="center"/>
          </w:tcPr>
          <w:p>
            <w:pPr>
              <w:pStyle w:val="TableContents"/>
              <w:bidi w:val="0"/>
              <w:spacing w:before="0" w:after="283"/>
              <w:jc w:val="right"/>
              <w:rPr/>
            </w:pPr>
            <w:r>
              <w:rPr/>
              <w:t>91.6%</w:t>
            </w:r>
          </w:p>
        </w:tc>
        <w:tc>
          <w:tcPr>
            <w:tcW w:w="11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right"/>
              <w:rPr/>
            </w:pPr>
            <w:r>
              <w:rPr/>
              <w:t>​</w:t>
            </w:r>
          </w:p>
        </w:tc>
        <w:tc>
          <w:tcPr>
            <w:tcW w:w="1282" w:type="dxa"/>
            <w:tcBorders/>
            <w:shd w:fill="CCCCCC" w:val="clear"/>
            <w:tcMar>
              <w:bottom w:w="0" w:type="dxa"/>
            </w:tcMar>
            <w:vAlign w:val="center"/>
          </w:tcPr>
          <w:p>
            <w:pPr>
              <w:pStyle w:val="TableContents"/>
              <w:bidi w:val="0"/>
              <w:spacing w:before="0" w:after="283"/>
              <w:jc w:val="right"/>
              <w:rPr/>
            </w:pPr>
            <w:r>
              <w:rPr/>
              <w:t>457,875</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298,125</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29" w:type="dxa"/>
            <w:tcBorders/>
            <w:tcMar>
              <w:bottom w:w="0" w:type="dxa"/>
            </w:tcMar>
            <w:vAlign w:val="center"/>
          </w:tcPr>
          <w:p>
            <w:pPr>
              <w:pStyle w:val="TableContents"/>
              <w:bidi w:val="0"/>
              <w:spacing w:before="0" w:after="283"/>
              <w:jc w:val="right"/>
              <w:rPr/>
            </w:pPr>
            <w:r>
              <w:rPr/>
              <w:t>91.9%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273,902</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right"/>
              <w:rPr/>
            </w:pPr>
            <w:r>
              <w:rPr/>
              <w:t>​</w:t>
            </w:r>
          </w:p>
        </w:tc>
        <w:tc>
          <w:tcPr>
            <w:tcW w:w="1260" w:type="dxa"/>
            <w:tcBorders/>
            <w:shd w:fill="CCCCCC" w:val="clear"/>
            <w:tcMar>
              <w:bottom w:w="0" w:type="dxa"/>
            </w:tcMar>
            <w:vAlign w:val="center"/>
          </w:tcPr>
          <w:p>
            <w:pPr>
              <w:pStyle w:val="TableContents"/>
              <w:bidi w:val="0"/>
              <w:spacing w:before="0" w:after="283"/>
              <w:jc w:val="right"/>
              <w:rPr/>
            </w:pPr>
            <w:r>
              <w:rPr/>
              <w:t>191,265</w:t>
            </w:r>
          </w:p>
        </w:tc>
        <w:tc>
          <w:tcPr>
            <w:tcW w:w="157"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right"/>
              <w:rPr/>
            </w:pPr>
            <w:r>
              <w:rPr/>
              <w:t>​</w:t>
            </w:r>
          </w:p>
        </w:tc>
        <w:tc>
          <w:tcPr>
            <w:tcW w:w="729" w:type="dxa"/>
            <w:tcBorders/>
            <w:shd w:fill="CCCCCC" w:val="clear"/>
            <w:tcMar>
              <w:bottom w:w="0" w:type="dxa"/>
            </w:tcMar>
            <w:vAlign w:val="center"/>
          </w:tcPr>
          <w:p>
            <w:pPr>
              <w:pStyle w:val="TableContents"/>
              <w:bidi w:val="0"/>
              <w:spacing w:before="0" w:after="283"/>
              <w:jc w:val="right"/>
              <w:rPr/>
            </w:pPr>
            <w:r>
              <w:rPr/>
              <w:t>92.3%</w:t>
            </w:r>
          </w:p>
        </w:tc>
        <w:tc>
          <w:tcPr>
            <w:tcW w:w="11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right"/>
              <w:rPr/>
            </w:pPr>
            <w:r>
              <w:rPr/>
              <w:t>​</w:t>
            </w:r>
          </w:p>
        </w:tc>
        <w:tc>
          <w:tcPr>
            <w:tcW w:w="1282" w:type="dxa"/>
            <w:tcBorders/>
            <w:shd w:fill="CCCCCC" w:val="clear"/>
            <w:tcMar>
              <w:bottom w:w="0" w:type="dxa"/>
            </w:tcMar>
            <w:vAlign w:val="center"/>
          </w:tcPr>
          <w:p>
            <w:pPr>
              <w:pStyle w:val="TableContents"/>
              <w:bidi w:val="0"/>
              <w:spacing w:before="0" w:after="283"/>
              <w:jc w:val="right"/>
              <w:rPr/>
            </w:pPr>
            <w:r>
              <w:rPr/>
              <w:t>176,774</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279,167</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29" w:type="dxa"/>
            <w:tcBorders/>
            <w:tcMar>
              <w:bottom w:w="0" w:type="dxa"/>
            </w:tcMar>
            <w:vAlign w:val="center"/>
          </w:tcPr>
          <w:p>
            <w:pPr>
              <w:pStyle w:val="TableContents"/>
              <w:bidi w:val="0"/>
              <w:spacing w:before="0" w:after="283"/>
              <w:jc w:val="right"/>
              <w:rPr/>
            </w:pPr>
            <w:r>
              <w:rPr/>
              <w:t>92.5%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282" w:type="dxa"/>
            <w:tcBorders/>
            <w:tcMar>
              <w:bottom w:w="0" w:type="dxa"/>
            </w:tcMar>
            <w:vAlign w:val="center"/>
          </w:tcPr>
          <w:p>
            <w:pPr>
              <w:pStyle w:val="TableContents"/>
              <w:bidi w:val="0"/>
              <w:spacing w:before="0" w:after="283"/>
              <w:jc w:val="right"/>
              <w:rPr/>
            </w:pPr>
            <w:r>
              <w:rPr/>
              <w:t>258,229</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right"/>
              <w:rPr/>
            </w:pPr>
            <w:r>
              <w:rPr/>
              <w:t>​</w:t>
            </w:r>
          </w:p>
        </w:tc>
        <w:tc>
          <w:tcPr>
            <w:tcW w:w="1260" w:type="dxa"/>
            <w:tcBorders/>
            <w:shd w:fill="CCCCCC" w:val="clear"/>
            <w:tcMar>
              <w:bottom w:w="0" w:type="dxa"/>
            </w:tcMar>
            <w:vAlign w:val="center"/>
          </w:tcPr>
          <w:p>
            <w:pPr>
              <w:pStyle w:val="TableContents"/>
              <w:bidi w:val="0"/>
              <w:spacing w:before="0" w:after="283"/>
              <w:jc w:val="right"/>
              <w:rPr/>
            </w:pPr>
            <w:r>
              <w:rPr/>
              <w:t>270,000</w:t>
            </w:r>
          </w:p>
        </w:tc>
        <w:tc>
          <w:tcPr>
            <w:tcW w:w="157"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left"/>
              <w:rPr/>
            </w:pPr>
            <w:r>
              <w:rPr/>
              <w:t>​</w:t>
            </w:r>
          </w:p>
        </w:tc>
        <w:tc>
          <w:tcPr>
            <w:tcW w:w="110" w:type="dxa"/>
            <w:tcBorders/>
            <w:shd w:fill="CCCCCC" w:val="clear"/>
            <w:tcMar>
              <w:bottom w:w="0" w:type="dxa"/>
            </w:tcMar>
            <w:vAlign w:val="center"/>
          </w:tcPr>
          <w:p>
            <w:pPr>
              <w:pStyle w:val="TableContents"/>
              <w:bidi w:val="0"/>
              <w:spacing w:before="0" w:after="283"/>
              <w:jc w:val="right"/>
              <w:rPr/>
            </w:pPr>
            <w:r>
              <w:rPr/>
              <w:t>​</w:t>
            </w:r>
          </w:p>
        </w:tc>
        <w:tc>
          <w:tcPr>
            <w:tcW w:w="729" w:type="dxa"/>
            <w:tcBorders/>
            <w:shd w:fill="CCCCCC" w:val="clear"/>
            <w:tcMar>
              <w:bottom w:w="0" w:type="dxa"/>
            </w:tcMar>
            <w:vAlign w:val="center"/>
          </w:tcPr>
          <w:p>
            <w:pPr>
              <w:pStyle w:val="TableContents"/>
              <w:bidi w:val="0"/>
              <w:spacing w:before="0" w:after="283"/>
              <w:jc w:val="right"/>
              <w:rPr/>
            </w:pPr>
            <w:r>
              <w:rPr/>
              <w:t>99.1%</w:t>
            </w:r>
          </w:p>
        </w:tc>
        <w:tc>
          <w:tcPr>
            <w:tcW w:w="110"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7" w:type="dxa"/>
            <w:tcBorders/>
            <w:shd w:fill="CCCCCC" w:val="clear"/>
            <w:tcMar>
              <w:bottom w:w="0" w:type="dxa"/>
            </w:tcMar>
            <w:vAlign w:val="center"/>
          </w:tcPr>
          <w:p>
            <w:pPr>
              <w:pStyle w:val="TableContents"/>
              <w:bidi w:val="0"/>
              <w:spacing w:before="0" w:after="283"/>
              <w:jc w:val="right"/>
              <w:rPr/>
            </w:pPr>
            <w:r>
              <w:rPr/>
              <w:t>​</w:t>
            </w:r>
          </w:p>
        </w:tc>
        <w:tc>
          <w:tcPr>
            <w:tcW w:w="1282" w:type="dxa"/>
            <w:tcBorders/>
            <w:shd w:fill="CCCCCC" w:val="clear"/>
            <w:tcMar>
              <w:bottom w:w="0" w:type="dxa"/>
            </w:tcMar>
            <w:vAlign w:val="center"/>
          </w:tcPr>
          <w:p>
            <w:pPr>
              <w:pStyle w:val="TableContents"/>
              <w:bidi w:val="0"/>
              <w:spacing w:before="0" w:after="283"/>
              <w:jc w:val="right"/>
              <w:rPr/>
            </w:pPr>
            <w:r>
              <w:rPr/>
              <w:t>267,543</w:t>
            </w:r>
          </w:p>
        </w:tc>
        <w:tc>
          <w:tcPr>
            <w:tcW w:w="157"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salary received in 2023. </w:t>
      </w:r>
      <w:r>
        <mc:AlternateContent>
          <mc:Choice Requires="wps">
            <w:drawing>
              <wp:anchor behindDoc="0" distT="9652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Long-Term Equity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we granted two types of equity awards to all NEOs under the Amended and Restated Plan as part of our annual program: time-based restricted stock and performance-based restricted stock units. For the NEOs, the Compensation Committee determined to make 50% of the annual equity award in time-based restricted stock and 50% in performance-based restricted stock units. In developing this mix of annual equity awards, the Compensation Committee balanced the objectives relating to achieving milestones and aligning interests with stockholders provided by the performance-based awards and the objectives relating to retention and share ownership provided by the time-based awards. Each of the time-based awards generally vests in equal annual installments over a four-year period on the anniversary of the grant date. The performance-based awards have a performance cycle over a three-year performance period beginning in the year of grant. While the performance-based awards cliff vest as of the end of the performance period (subject to Company performance), actual share distribution is subject to a short administration period following the end of the performance period to allow for Compensation Committee approval of achievement of the performance targets.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performance-based awards granted in 2023, the Compensation Committee established a Total Shareholder Return (“TSR”) performance measure, which we believe further aligns the executive’s interests with those of our stockholders. TSR is defined as stock price appreciation assuming dividends are reinvested on ex-dividend date. To mitigate against unusual volatility, the actual beginning and ending price for the performance period will reflect a 20-trading day average. The TSR performance will be measured against the Russell 2000. This benchmark provides for a robust comparator group, which mitigates against anomalies due to changes in the composition of the peer group over the performance period. TSR will be measured separately for Repay and each company in the comparator group. The percent of target award earned is based on the percentile rank of Repay’s TSR relative to the TSR of the members of the comparator group. The performance and percent of award earned is as follows: </w:t>
      </w:r>
    </w:p>
    <w:tbl>
      <w:tblPr>
        <w:tblW w:w="6519" w:type="dxa"/>
        <w:jc w:val="left"/>
        <w:tblInd w:w="1393" w:type="dxa"/>
        <w:tblLayout w:type="fixed"/>
        <w:tblCellMar>
          <w:top w:w="0" w:type="dxa"/>
          <w:left w:w="0" w:type="dxa"/>
          <w:bottom w:w="0" w:type="dxa"/>
          <w:right w:w="0" w:type="dxa"/>
        </w:tblCellMar>
      </w:tblPr>
      <w:tblGrid>
        <w:gridCol w:w="124"/>
        <w:gridCol w:w="109"/>
        <w:gridCol w:w="2503"/>
        <w:gridCol w:w="109"/>
        <w:gridCol w:w="109"/>
        <w:gridCol w:w="109"/>
        <w:gridCol w:w="3193"/>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shd w:fill="FFFFFF" w:val="clear"/>
            <w:tcMar>
              <w:bottom w:w="45" w:type="dxa"/>
            </w:tcMar>
            <w:vAlign w:val="center"/>
          </w:tcPr>
          <w:p>
            <w:pPr>
              <w:pStyle w:val="TableContents"/>
              <w:bidi w:val="0"/>
              <w:spacing w:before="0" w:after="0"/>
              <w:jc w:val="center"/>
              <w:rPr>
                <w:spacing w:val="-3"/>
              </w:rPr>
            </w:pPr>
            <w:r>
              <w:rPr>
                <w:spacing w:val="-3"/>
              </w:rPr>
              <w:t xml:space="preserve">Repay TSR Performance </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shd w:fill="FFFFFF" w:val="clear"/>
            <w:tcMar>
              <w:bottom w:w="45" w:type="dxa"/>
            </w:tcMar>
            <w:vAlign w:val="center"/>
          </w:tcPr>
          <w:p>
            <w:pPr>
              <w:pStyle w:val="TableContents"/>
              <w:bidi w:val="0"/>
              <w:spacing w:before="0" w:after="0"/>
              <w:jc w:val="center"/>
              <w:rPr>
                <w:spacing w:val="-3"/>
              </w:rPr>
            </w:pPr>
            <w:r>
              <w:rPr>
                <w:spacing w:val="-3"/>
              </w:rPr>
              <w:t xml:space="preserve">Percent of Target Award Earned </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shd w:fill="CCCCCC" w:val="clear"/>
            <w:tcMar>
              <w:bottom w:w="45" w:type="dxa"/>
            </w:tcMar>
            <w:vAlign w:val="center"/>
          </w:tcPr>
          <w:p>
            <w:pPr>
              <w:pStyle w:val="TableContents"/>
              <w:bidi w:val="0"/>
              <w:spacing w:before="0" w:after="0"/>
              <w:jc w:val="center"/>
              <w:rPr/>
            </w:pPr>
            <w:r>
              <w:rPr>
                <w:spacing w:val="4"/>
              </w:rPr>
              <w:t>75</w:t>
            </w:r>
            <w:r>
              <w:rPr>
                <w:spacing w:val="3"/>
                <w:sz w:val="13"/>
              </w:rPr>
              <w:t>th</w:t>
            </w:r>
            <w:r>
              <w:rPr>
                <w:spacing w:val="4"/>
              </w:rPr>
              <w:t xml:space="preserve"> percentile or higher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shd w:fill="CCCCCC" w:val="clear"/>
            <w:tcMar>
              <w:bottom w:w="45" w:type="dxa"/>
            </w:tcMar>
            <w:vAlign w:val="center"/>
          </w:tcPr>
          <w:p>
            <w:pPr>
              <w:pStyle w:val="TableContents"/>
              <w:bidi w:val="0"/>
              <w:spacing w:before="0" w:after="0"/>
              <w:jc w:val="center"/>
              <w:rPr>
                <w:spacing w:val="4"/>
              </w:rPr>
            </w:pPr>
            <w:r>
              <w:rPr>
                <w:spacing w:val="4"/>
              </w:rPr>
              <w:t xml:space="preserve">200%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tcMar>
              <w:bottom w:w="45" w:type="dxa"/>
            </w:tcMar>
            <w:vAlign w:val="center"/>
          </w:tcPr>
          <w:p>
            <w:pPr>
              <w:pStyle w:val="TableContents"/>
              <w:bidi w:val="0"/>
              <w:spacing w:before="0" w:after="0"/>
              <w:jc w:val="center"/>
              <w:rPr/>
            </w:pPr>
            <w:r>
              <w:rPr>
                <w:spacing w:val="4"/>
              </w:rPr>
              <w:t>50</w:t>
            </w:r>
            <w:r>
              <w:rPr>
                <w:spacing w:val="3"/>
                <w:sz w:val="13"/>
              </w:rPr>
              <w:t>th</w:t>
            </w:r>
            <w:r>
              <w:rPr>
                <w:spacing w:val="4"/>
              </w:rPr>
              <w:t xml:space="preserve"> percentile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tcMar>
              <w:bottom w:w="45" w:type="dxa"/>
            </w:tcMar>
            <w:vAlign w:val="center"/>
          </w:tcPr>
          <w:p>
            <w:pPr>
              <w:pStyle w:val="TableContents"/>
              <w:bidi w:val="0"/>
              <w:spacing w:before="0" w:after="0"/>
              <w:jc w:val="center"/>
              <w:rPr>
                <w:spacing w:val="4"/>
              </w:rPr>
            </w:pPr>
            <w:r>
              <w:rPr>
                <w:spacing w:val="4"/>
              </w:rPr>
              <w:t xml:space="preserve">100%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shd w:fill="CCCCCC" w:val="clear"/>
            <w:tcMar>
              <w:bottom w:w="45" w:type="dxa"/>
            </w:tcMar>
            <w:vAlign w:val="center"/>
          </w:tcPr>
          <w:p>
            <w:pPr>
              <w:pStyle w:val="TableContents"/>
              <w:bidi w:val="0"/>
              <w:spacing w:before="0" w:after="0"/>
              <w:jc w:val="center"/>
              <w:rPr/>
            </w:pPr>
            <w:r>
              <w:rPr>
                <w:spacing w:val="4"/>
              </w:rPr>
              <w:t>25</w:t>
            </w:r>
            <w:r>
              <w:rPr>
                <w:spacing w:val="3"/>
                <w:sz w:val="13"/>
              </w:rPr>
              <w:t>th</w:t>
            </w:r>
            <w:r>
              <w:rPr>
                <w:spacing w:val="4"/>
              </w:rPr>
              <w:t xml:space="preserve"> percentile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shd w:fill="CCCCCC" w:val="clear"/>
            <w:tcMar>
              <w:bottom w:w="45" w:type="dxa"/>
            </w:tcMar>
            <w:vAlign w:val="center"/>
          </w:tcPr>
          <w:p>
            <w:pPr>
              <w:pStyle w:val="TableContents"/>
              <w:bidi w:val="0"/>
              <w:spacing w:before="0" w:after="0"/>
              <w:jc w:val="center"/>
              <w:rPr>
                <w:spacing w:val="4"/>
              </w:rPr>
            </w:pPr>
            <w:r>
              <w:rPr>
                <w:spacing w:val="4"/>
              </w:rPr>
              <w:t xml:space="preserve">50%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tcMar>
              <w:bottom w:w="45" w:type="dxa"/>
            </w:tcMar>
            <w:vAlign w:val="center"/>
          </w:tcPr>
          <w:p>
            <w:pPr>
              <w:pStyle w:val="TableContents"/>
              <w:bidi w:val="0"/>
              <w:spacing w:before="0" w:after="0"/>
              <w:jc w:val="center"/>
              <w:rPr/>
            </w:pPr>
            <w:r>
              <w:rPr>
                <w:spacing w:val="4"/>
              </w:rPr>
              <w:t>Below 25</w:t>
            </w:r>
            <w:r>
              <w:rPr>
                <w:spacing w:val="3"/>
                <w:sz w:val="13"/>
              </w:rPr>
              <w:t>th</w:t>
            </w:r>
            <w:r>
              <w:rPr>
                <w:spacing w:val="4"/>
              </w:rPr>
              <w:t xml:space="preserve"> percentile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tcMar>
              <w:bottom w:w="45" w:type="dxa"/>
            </w:tcMar>
            <w:vAlign w:val="center"/>
          </w:tcPr>
          <w:p>
            <w:pPr>
              <w:pStyle w:val="TableContents"/>
              <w:bidi w:val="0"/>
              <w:spacing w:before="0" w:after="0"/>
              <w:jc w:val="center"/>
              <w:rPr/>
            </w:pPr>
            <w:r>
              <w:rPr>
                <w:spacing w:val="4"/>
              </w:rPr>
              <w:t>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award earned for results between the threshold and the maximum of the target is calculated using straight-line interpolation. The achievement of the performance goals for the performance-based equity awards granted in 2023 will be determined in early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the size of the dollar value of annual equity awards granted, the Compensation Committee considered a variety of factors, including the desired equity mix and target total compensation. The actual number of equity awards granted is calculated by dividing the dollar value of the award by the closing price of our stock on the grant date. The dollar value of the awards granted in 2023 were generally consistent with those granted in 2022, except for in the case of Mr. Guthrie, Mr. Moore and Mr. Morris who received an increase in light of a review of our peer group, Company performance and increased responsibilities in their current roles (in the case of Mr. Guthrie and Mr. Moore), as described in more detail above. The annual grants of equity incentives were awarded to our NEOs in 2023 as provided below. </w:t>
      </w:r>
    </w:p>
    <w:tbl>
      <w:tblPr>
        <w:tblW w:w="6452" w:type="dxa"/>
        <w:jc w:val="left"/>
        <w:tblInd w:w="1393" w:type="dxa"/>
        <w:tblLayout w:type="fixed"/>
        <w:tblCellMar>
          <w:top w:w="0" w:type="dxa"/>
          <w:left w:w="0" w:type="dxa"/>
          <w:bottom w:w="28" w:type="dxa"/>
          <w:right w:w="0" w:type="dxa"/>
        </w:tblCellMar>
      </w:tblPr>
      <w:tblGrid>
        <w:gridCol w:w="124"/>
        <w:gridCol w:w="2059"/>
        <w:gridCol w:w="109"/>
        <w:gridCol w:w="109"/>
        <w:gridCol w:w="202"/>
        <w:gridCol w:w="202"/>
        <w:gridCol w:w="1658"/>
        <w:gridCol w:w="208"/>
        <w:gridCol w:w="109"/>
        <w:gridCol w:w="109"/>
        <w:gridCol w:w="126"/>
        <w:gridCol w:w="126"/>
        <w:gridCol w:w="1029"/>
        <w:gridCol w:w="128"/>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059"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27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Time-Based Restricted </w:t>
              <w:br/>
              <w:t xml:space="preserve">Stock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09"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Performance- </w:t>
              <w:br/>
              <w:t xml:space="preserve">Based </w:t>
              <w:br/>
              <w:t xml:space="preserve">Restricted </w:t>
              <w:br/>
              <w:t xml:space="preserve">Stock Units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right"/>
              <w:rPr/>
            </w:pPr>
            <w:r>
              <w:rPr/>
              <w:t>​</w:t>
            </w:r>
          </w:p>
        </w:tc>
        <w:tc>
          <w:tcPr>
            <w:tcW w:w="1658" w:type="dxa"/>
            <w:tcBorders/>
            <w:shd w:fill="CCCCCC" w:val="clear"/>
            <w:tcMar>
              <w:bottom w:w="0" w:type="dxa"/>
            </w:tcMar>
            <w:vAlign w:val="center"/>
          </w:tcPr>
          <w:p>
            <w:pPr>
              <w:pStyle w:val="TableContents"/>
              <w:bidi w:val="0"/>
              <w:spacing w:before="0" w:after="283"/>
              <w:jc w:val="right"/>
              <w:rPr/>
            </w:pPr>
            <w:r>
              <w:rPr/>
              <w:t>530,179</w:t>
            </w:r>
          </w:p>
        </w:tc>
        <w:tc>
          <w:tcPr>
            <w:tcW w:w="208"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right"/>
              <w:rPr/>
            </w:pPr>
            <w:r>
              <w:rPr/>
              <w:t>​</w:t>
            </w:r>
          </w:p>
        </w:tc>
        <w:tc>
          <w:tcPr>
            <w:tcW w:w="1029" w:type="dxa"/>
            <w:tcBorders/>
            <w:shd w:fill="CCCCCC" w:val="clear"/>
            <w:tcMar>
              <w:bottom w:w="0" w:type="dxa"/>
            </w:tcMar>
            <w:vAlign w:val="center"/>
          </w:tcPr>
          <w:p>
            <w:pPr>
              <w:pStyle w:val="TableContents"/>
              <w:bidi w:val="0"/>
              <w:spacing w:before="0" w:after="283"/>
              <w:jc w:val="right"/>
              <w:rPr/>
            </w:pPr>
            <w:r>
              <w:rPr/>
              <w:t>530,179</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Timothy J.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1658" w:type="dxa"/>
            <w:tcBorders/>
            <w:tcMar>
              <w:bottom w:w="0" w:type="dxa"/>
            </w:tcMar>
            <w:vAlign w:val="center"/>
          </w:tcPr>
          <w:p>
            <w:pPr>
              <w:pStyle w:val="TableContents"/>
              <w:bidi w:val="0"/>
              <w:spacing w:before="0" w:after="283"/>
              <w:jc w:val="right"/>
              <w:rPr/>
            </w:pPr>
            <w:r>
              <w:rPr/>
              <w:t>129,364</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129,363</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right"/>
              <w:rPr/>
            </w:pPr>
            <w:r>
              <w:rPr/>
              <w:t>​</w:t>
            </w:r>
          </w:p>
        </w:tc>
        <w:tc>
          <w:tcPr>
            <w:tcW w:w="1658" w:type="dxa"/>
            <w:tcBorders/>
            <w:shd w:fill="CCCCCC" w:val="clear"/>
            <w:tcMar>
              <w:bottom w:w="0" w:type="dxa"/>
            </w:tcMar>
            <w:vAlign w:val="center"/>
          </w:tcPr>
          <w:p>
            <w:pPr>
              <w:pStyle w:val="TableContents"/>
              <w:bidi w:val="0"/>
              <w:spacing w:before="0" w:after="283"/>
              <w:jc w:val="right"/>
              <w:rPr/>
            </w:pPr>
            <w:r>
              <w:rPr/>
              <w:t>77,488</w:t>
            </w:r>
          </w:p>
        </w:tc>
        <w:tc>
          <w:tcPr>
            <w:tcW w:w="208"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right"/>
              <w:rPr/>
            </w:pPr>
            <w:r>
              <w:rPr/>
              <w:t>​</w:t>
            </w:r>
          </w:p>
        </w:tc>
        <w:tc>
          <w:tcPr>
            <w:tcW w:w="1029" w:type="dxa"/>
            <w:tcBorders/>
            <w:shd w:fill="CCCCCC" w:val="clear"/>
            <w:tcMar>
              <w:bottom w:w="0" w:type="dxa"/>
            </w:tcMar>
            <w:vAlign w:val="center"/>
          </w:tcPr>
          <w:p>
            <w:pPr>
              <w:pStyle w:val="TableContents"/>
              <w:bidi w:val="0"/>
              <w:spacing w:before="0" w:after="283"/>
              <w:jc w:val="right"/>
              <w:rPr/>
            </w:pPr>
            <w:r>
              <w:rPr/>
              <w:t>77,487</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1658" w:type="dxa"/>
            <w:tcBorders/>
            <w:tcMar>
              <w:bottom w:w="0" w:type="dxa"/>
            </w:tcMar>
            <w:vAlign w:val="center"/>
          </w:tcPr>
          <w:p>
            <w:pPr>
              <w:pStyle w:val="TableContents"/>
              <w:bidi w:val="0"/>
              <w:spacing w:before="0" w:after="283"/>
              <w:jc w:val="right"/>
              <w:rPr/>
            </w:pPr>
            <w:r>
              <w:rPr/>
              <w:t>89,723</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89,722</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059"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left"/>
              <w:rPr/>
            </w:pPr>
            <w:r>
              <w:rPr/>
              <w:t>​</w:t>
            </w:r>
          </w:p>
        </w:tc>
        <w:tc>
          <w:tcPr>
            <w:tcW w:w="202" w:type="dxa"/>
            <w:tcBorders/>
            <w:shd w:fill="CCCCCC" w:val="clear"/>
            <w:tcMar>
              <w:bottom w:w="0" w:type="dxa"/>
            </w:tcMar>
            <w:vAlign w:val="center"/>
          </w:tcPr>
          <w:p>
            <w:pPr>
              <w:pStyle w:val="TableContents"/>
              <w:bidi w:val="0"/>
              <w:spacing w:before="0" w:after="283"/>
              <w:jc w:val="right"/>
              <w:rPr/>
            </w:pPr>
            <w:r>
              <w:rPr/>
              <w:t>​</w:t>
            </w:r>
          </w:p>
        </w:tc>
        <w:tc>
          <w:tcPr>
            <w:tcW w:w="1658" w:type="dxa"/>
            <w:tcBorders/>
            <w:shd w:fill="CCCCCC" w:val="clear"/>
            <w:tcMar>
              <w:bottom w:w="0" w:type="dxa"/>
            </w:tcMar>
            <w:vAlign w:val="center"/>
          </w:tcPr>
          <w:p>
            <w:pPr>
              <w:pStyle w:val="TableContents"/>
              <w:bidi w:val="0"/>
              <w:spacing w:before="0" w:after="283"/>
              <w:jc w:val="right"/>
              <w:rPr/>
            </w:pPr>
            <w:r>
              <w:rPr/>
              <w:t>81,566</w:t>
            </w:r>
          </w:p>
        </w:tc>
        <w:tc>
          <w:tcPr>
            <w:tcW w:w="208"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left"/>
              <w:rPr/>
            </w:pPr>
            <w:r>
              <w:rPr/>
              <w:t>​</w:t>
            </w:r>
          </w:p>
        </w:tc>
        <w:tc>
          <w:tcPr>
            <w:tcW w:w="126" w:type="dxa"/>
            <w:tcBorders/>
            <w:shd w:fill="CCCCCC" w:val="clear"/>
            <w:tcMar>
              <w:bottom w:w="0" w:type="dxa"/>
            </w:tcMar>
            <w:vAlign w:val="center"/>
          </w:tcPr>
          <w:p>
            <w:pPr>
              <w:pStyle w:val="TableContents"/>
              <w:bidi w:val="0"/>
              <w:spacing w:before="0" w:after="283"/>
              <w:jc w:val="right"/>
              <w:rPr/>
            </w:pPr>
            <w:r>
              <w:rPr/>
              <w:t>​</w:t>
            </w:r>
          </w:p>
        </w:tc>
        <w:tc>
          <w:tcPr>
            <w:tcW w:w="1029" w:type="dxa"/>
            <w:tcBorders/>
            <w:shd w:fill="CCCCCC" w:val="clear"/>
            <w:tcMar>
              <w:bottom w:w="0" w:type="dxa"/>
            </w:tcMar>
            <w:vAlign w:val="center"/>
          </w:tcPr>
          <w:p>
            <w:pPr>
              <w:pStyle w:val="TableContents"/>
              <w:bidi w:val="0"/>
              <w:spacing w:before="0" w:after="283"/>
              <w:jc w:val="right"/>
              <w:rPr/>
            </w:pPr>
            <w:r>
              <w:rPr/>
              <w:t>81,566</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Forfeiture of Fiscal 2021 Performance-Based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NEOs were granted performance-based restricted stock units (the “2021 PSUs”) on February 24, 2021. The 2021 PSUs had a three-year performance period ending on December 31, 2023. Vesting of the 2021 PSUs was subject to attainment of performance goals based upon relative TSR relative to the Russell 2000 Index. The threshold performance goal set for these awards was a relative TSR performance at or above the 25% percentile. If the relative TSR performance was below the 25% percentile, the award would be forfeited.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TSR Performance as of December 31, 2023 was as follows: </w:t>
      </w:r>
    </w:p>
    <w:tbl>
      <w:tblPr>
        <w:tblW w:w="5767" w:type="dxa"/>
        <w:jc w:val="left"/>
        <w:tblInd w:w="1393" w:type="dxa"/>
        <w:tblLayout w:type="fixed"/>
        <w:tblCellMar>
          <w:top w:w="0" w:type="dxa"/>
          <w:left w:w="0" w:type="dxa"/>
          <w:bottom w:w="0" w:type="dxa"/>
          <w:right w:w="0" w:type="dxa"/>
        </w:tblCellMar>
      </w:tblPr>
      <w:tblGrid>
        <w:gridCol w:w="124"/>
        <w:gridCol w:w="2935"/>
        <w:gridCol w:w="109"/>
        <w:gridCol w:w="109"/>
        <w:gridCol w:w="2336"/>
        <w:gridCol w:w="154"/>
      </w:tblGrid>
      <w:tr>
        <w:trPr/>
        <w:tc>
          <w:tcPr>
            <w:tcW w:w="124" w:type="dxa"/>
            <w:tcBorders/>
            <w:shd w:fill="CCCCCC" w:val="clear"/>
            <w:vAlign w:val="center"/>
          </w:tcPr>
          <w:p>
            <w:pPr>
              <w:pStyle w:val="TableContents"/>
              <w:bidi w:val="0"/>
              <w:spacing w:before="0" w:after="283"/>
              <w:jc w:val="left"/>
              <w:rPr/>
            </w:pPr>
            <w:r>
              <w:rPr/>
              <w:t>​</w:t>
            </w:r>
          </w:p>
        </w:tc>
        <w:tc>
          <w:tcPr>
            <w:tcW w:w="2935" w:type="dxa"/>
            <w:tcBorders/>
            <w:shd w:fill="CCCCCC" w:val="clear"/>
            <w:vAlign w:val="center"/>
          </w:tcPr>
          <w:p>
            <w:pPr>
              <w:pStyle w:val="TableContents"/>
              <w:bidi w:val="0"/>
              <w:spacing w:before="0" w:after="283"/>
              <w:jc w:val="left"/>
              <w:rPr>
                <w:spacing w:val="4"/>
              </w:rPr>
            </w:pPr>
            <w:r>
              <w:rPr>
                <w:spacing w:val="4"/>
              </w:rPr>
              <w:t xml:space="preserve">Performance Period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36" w:type="dxa"/>
            <w:tcBorders/>
            <w:shd w:fill="CCCCCC" w:val="clear"/>
            <w:vAlign w:val="center"/>
          </w:tcPr>
          <w:p>
            <w:pPr>
              <w:pStyle w:val="TableContents"/>
              <w:bidi w:val="0"/>
              <w:spacing w:before="0" w:after="0"/>
              <w:jc w:val="center"/>
              <w:rPr>
                <w:spacing w:val="4"/>
              </w:rPr>
            </w:pPr>
            <w:r>
              <w:rPr>
                <w:spacing w:val="4"/>
              </w:rPr>
              <w:t xml:space="preserve">1/1/2021 – 12/31/2023 </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35" w:type="dxa"/>
            <w:tcBorders/>
            <w:vAlign w:val="center"/>
          </w:tcPr>
          <w:p>
            <w:pPr>
              <w:pStyle w:val="TableContents"/>
              <w:bidi w:val="0"/>
              <w:spacing w:before="0" w:after="283"/>
              <w:jc w:val="left"/>
              <w:rPr>
                <w:spacing w:val="4"/>
              </w:rPr>
            </w:pPr>
            <w:r>
              <w:rPr>
                <w:spacing w:val="4"/>
              </w:rPr>
              <w:t xml:space="preserve">Performance Period Elapsed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6" w:type="dxa"/>
            <w:tcBorders/>
            <w:vAlign w:val="center"/>
          </w:tcPr>
          <w:p>
            <w:pPr>
              <w:pStyle w:val="TableContents"/>
              <w:bidi w:val="0"/>
              <w:spacing w:before="0" w:after="0"/>
              <w:jc w:val="center"/>
              <w:rPr>
                <w:spacing w:val="4"/>
              </w:rPr>
            </w:pPr>
            <w:r>
              <w:rPr>
                <w:spacing w:val="4"/>
              </w:rPr>
              <w:t xml:space="preserve">100% </w:t>
            </w:r>
          </w:p>
        </w:tc>
        <w:tc>
          <w:tcPr>
            <w:tcW w:w="154" w:type="dxa"/>
            <w:tcBorders/>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935" w:type="dxa"/>
            <w:tcBorders/>
            <w:shd w:fill="CCCCCC" w:val="clear"/>
            <w:vAlign w:val="center"/>
          </w:tcPr>
          <w:p>
            <w:pPr>
              <w:pStyle w:val="TableContents"/>
              <w:bidi w:val="0"/>
              <w:spacing w:before="0" w:after="283"/>
              <w:jc w:val="left"/>
              <w:rPr>
                <w:spacing w:val="4"/>
              </w:rPr>
            </w:pPr>
            <w:r>
              <w:rPr>
                <w:spacing w:val="4"/>
              </w:rPr>
              <w:t xml:space="preserve">Repay TSR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36" w:type="dxa"/>
            <w:tcBorders/>
            <w:shd w:fill="CCCCCC" w:val="clear"/>
            <w:vAlign w:val="center"/>
          </w:tcPr>
          <w:p>
            <w:pPr>
              <w:pStyle w:val="TableContents"/>
              <w:bidi w:val="0"/>
              <w:spacing w:before="0" w:after="0"/>
              <w:jc w:val="center"/>
              <w:rPr>
                <w:spacing w:val="4"/>
              </w:rPr>
            </w:pPr>
            <w:r>
              <w:rPr>
                <w:spacing w:val="4"/>
              </w:rPr>
              <w:t xml:space="preserve">(68.85)% </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35" w:type="dxa"/>
            <w:tcBorders/>
            <w:vAlign w:val="center"/>
          </w:tcPr>
          <w:p>
            <w:pPr>
              <w:pStyle w:val="TableContents"/>
              <w:bidi w:val="0"/>
              <w:spacing w:before="0" w:after="283"/>
              <w:jc w:val="left"/>
              <w:rPr>
                <w:spacing w:val="4"/>
              </w:rPr>
            </w:pPr>
            <w:r>
              <w:rPr>
                <w:spacing w:val="4"/>
              </w:rPr>
              <w:t xml:space="preserve">Repay Rank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6" w:type="dxa"/>
            <w:tcBorders/>
            <w:vAlign w:val="center"/>
          </w:tcPr>
          <w:p>
            <w:pPr>
              <w:pStyle w:val="TableContents"/>
              <w:bidi w:val="0"/>
              <w:spacing w:before="0" w:after="0"/>
              <w:jc w:val="center"/>
              <w:rPr>
                <w:spacing w:val="4"/>
              </w:rPr>
            </w:pPr>
            <w:r>
              <w:rPr>
                <w:spacing w:val="4"/>
              </w:rPr>
              <w:t xml:space="preserve">1,375 </w:t>
            </w:r>
          </w:p>
        </w:tc>
        <w:tc>
          <w:tcPr>
            <w:tcW w:w="154" w:type="dxa"/>
            <w:tcBorders/>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935" w:type="dxa"/>
            <w:tcBorders/>
            <w:shd w:fill="CCCCCC" w:val="clear"/>
            <w:vAlign w:val="center"/>
          </w:tcPr>
          <w:p>
            <w:pPr>
              <w:pStyle w:val="TableContents"/>
              <w:bidi w:val="0"/>
              <w:spacing w:before="0" w:after="283"/>
              <w:jc w:val="left"/>
              <w:rPr>
                <w:spacing w:val="4"/>
              </w:rPr>
            </w:pPr>
            <w:r>
              <w:rPr>
                <w:spacing w:val="4"/>
              </w:rPr>
              <w:t xml:space="preserve">Peer Count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36" w:type="dxa"/>
            <w:tcBorders/>
            <w:shd w:fill="CCCCCC" w:val="clear"/>
            <w:vAlign w:val="center"/>
          </w:tcPr>
          <w:p>
            <w:pPr>
              <w:pStyle w:val="TableContents"/>
              <w:bidi w:val="0"/>
              <w:spacing w:before="0" w:after="0"/>
              <w:jc w:val="center"/>
              <w:rPr>
                <w:spacing w:val="4"/>
              </w:rPr>
            </w:pPr>
            <w:r>
              <w:rPr>
                <w:spacing w:val="4"/>
              </w:rPr>
              <w:t xml:space="preserve">1,657 </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35" w:type="dxa"/>
            <w:tcBorders/>
            <w:vAlign w:val="center"/>
          </w:tcPr>
          <w:p>
            <w:pPr>
              <w:pStyle w:val="TableContents"/>
              <w:bidi w:val="0"/>
              <w:spacing w:before="0" w:after="283"/>
              <w:jc w:val="left"/>
              <w:rPr>
                <w:spacing w:val="4"/>
              </w:rPr>
            </w:pPr>
            <w:r>
              <w:rPr>
                <w:spacing w:val="4"/>
              </w:rPr>
              <w:t xml:space="preserve">Repay Percentile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6" w:type="dxa"/>
            <w:tcBorders/>
            <w:vAlign w:val="center"/>
          </w:tcPr>
          <w:p>
            <w:pPr>
              <w:pStyle w:val="TableContents"/>
              <w:bidi w:val="0"/>
              <w:spacing w:before="0" w:after="0"/>
              <w:jc w:val="center"/>
              <w:rPr>
                <w:spacing w:val="4"/>
              </w:rPr>
            </w:pPr>
            <w:r>
              <w:rPr>
                <w:spacing w:val="4"/>
              </w:rPr>
              <w:t xml:space="preserve">17.03% </w:t>
            </w:r>
          </w:p>
        </w:tc>
        <w:tc>
          <w:tcPr>
            <w:tcW w:w="154" w:type="dxa"/>
            <w:tcBorders/>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935" w:type="dxa"/>
            <w:tcBorders/>
            <w:shd w:fill="CCCCCC" w:val="clear"/>
            <w:vAlign w:val="center"/>
          </w:tcPr>
          <w:p>
            <w:pPr>
              <w:pStyle w:val="TableContents"/>
              <w:bidi w:val="0"/>
              <w:spacing w:before="0" w:after="283"/>
              <w:jc w:val="left"/>
              <w:rPr>
                <w:spacing w:val="4"/>
              </w:rPr>
            </w:pPr>
            <w:r>
              <w:rPr>
                <w:spacing w:val="4"/>
              </w:rPr>
              <w:t xml:space="preserve">Current Payout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36" w:type="dxa"/>
            <w:tcBorders/>
            <w:shd w:fill="CCCCCC" w:val="clear"/>
            <w:vAlign w:val="center"/>
          </w:tcPr>
          <w:p>
            <w:pPr>
              <w:pStyle w:val="TableContents"/>
              <w:bidi w:val="0"/>
              <w:spacing w:before="0" w:after="0"/>
              <w:jc w:val="center"/>
              <w:rPr/>
            </w:pPr>
            <w:r>
              <w:rPr>
                <w:spacing w:val="4"/>
              </w:rPr>
              <w:t>0%</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TSR percentile for the performance period was 0%. Therefore, the 2021 PSUs were forfeited for each applicable NEO.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One-Time Performance-Based Stock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2023, the Compensation Committee determined to grant one-time performance-based stock options (the “PSOs”) to certain executive officers, excluding each of the CEO and President (the co-founders) of the Company. These grants were intended to incentivize our executive management team to reach long-term financial and strategic goals and to emphasize longer-sustained stockholder value growth by setting performance levels far above the standard in our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approved the grant of the PSOs to Messrs. Murphy, Dempsey, Guthrie and Moore, if fully vested, exercisable for 287,207, 191,470, 287,207 and 191,470 shares of Class A common stock, respectively, and having an exercise price of $6.13 per share of Class A common stock. The terms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OIC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PSOs provide that they vest and become exercisable in three separate tranches as follows: (a) 31% shall vest and became exercisable on the later of (i) March 19, 2024, subject to the grantee’s continued employment through such date, and (ii) the date on which the closing price per share of Class A common stock has equaled or exceeded $10.00 for any consecutive 20-day trading period ending on or prior to March 18, 2028; (b) 32% shall vest and become exercisable on the later of (i) March 19, 2025, subject to the grantee’s continued employment through such date, and (ii) the date on which the closing price per share of Class A common stock has equaled or exceeded $14.50 for any consecutive 20-day trading period ending on or prior to March 18, 2028; and (c) 37% shall vest and become exercisable on the later of (i) March 19, 2026, subject to the grantee’s continued employment through such date, and (ii) the date on which the closing price per share of Class A common stock has equaled or exceeded $19.54 for any consecutive 20-day trading period ending on or prior to March 18,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sets forth the challenging stock price performance hurdles required for the PSOs to vest and become exercisable, demonstrating the emphasis on promoting long-term stockholder value created through the awards. </w:t>
      </w:r>
    </w:p>
    <w:tbl>
      <w:tblPr>
        <w:tblW w:w="5896" w:type="dxa"/>
        <w:jc w:val="left"/>
        <w:tblInd w:w="1393" w:type="dxa"/>
        <w:tblLayout w:type="fixed"/>
        <w:tblCellMar>
          <w:top w:w="0" w:type="dxa"/>
          <w:left w:w="0" w:type="dxa"/>
          <w:bottom w:w="28" w:type="dxa"/>
          <w:right w:w="0" w:type="dxa"/>
        </w:tblCellMar>
      </w:tblPr>
      <w:tblGrid>
        <w:gridCol w:w="124"/>
        <w:gridCol w:w="1927"/>
        <w:gridCol w:w="109"/>
        <w:gridCol w:w="109"/>
        <w:gridCol w:w="176"/>
        <w:gridCol w:w="176"/>
        <w:gridCol w:w="1072"/>
        <w:gridCol w:w="176"/>
        <w:gridCol w:w="109"/>
        <w:gridCol w:w="109"/>
        <w:gridCol w:w="254"/>
        <w:gridCol w:w="254"/>
        <w:gridCol w:w="892"/>
        <w:gridCol w:w="255"/>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927"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Stock Price Hurdle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00"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Required Stock </w:t>
              <w:br/>
              <w:t>Price Growth</w:t>
            </w:r>
            <w:r>
              <w:rPr>
                <w:spacing w:val="-2"/>
                <w:sz w:val="10"/>
              </w:rPr>
              <w:t>(1)</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5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PSO Vesting </w:t>
              <w:br/>
              <w:t xml:space="preserve">(% of # options)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27" w:type="dxa"/>
            <w:tcBorders/>
            <w:shd w:fill="CCCCCC" w:val="clear"/>
            <w:tcMar>
              <w:bottom w:w="0" w:type="dxa"/>
            </w:tcMar>
            <w:vAlign w:val="center"/>
          </w:tcPr>
          <w:p>
            <w:pPr>
              <w:pStyle w:val="TableContents"/>
              <w:bidi w:val="0"/>
              <w:spacing w:before="0" w:after="283"/>
              <w:jc w:val="left"/>
              <w:rPr>
                <w:spacing w:val="4"/>
              </w:rPr>
            </w:pPr>
            <w:r>
              <w:rPr>
                <w:spacing w:val="4"/>
              </w:rPr>
              <w:t xml:space="preserve">$10.00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 w:type="dxa"/>
            <w:tcBorders/>
            <w:shd w:fill="CCCCCC" w:val="clear"/>
            <w:tcMar>
              <w:bottom w:w="0" w:type="dxa"/>
            </w:tcMar>
            <w:vAlign w:val="center"/>
          </w:tcPr>
          <w:p>
            <w:pPr>
              <w:pStyle w:val="TableContents"/>
              <w:bidi w:val="0"/>
              <w:spacing w:before="0" w:after="283"/>
              <w:jc w:val="left"/>
              <w:rPr/>
            </w:pPr>
            <w:r>
              <w:rPr/>
              <w:t>​</w:t>
            </w:r>
          </w:p>
        </w:tc>
        <w:tc>
          <w:tcPr>
            <w:tcW w:w="176" w:type="dxa"/>
            <w:tcBorders/>
            <w:shd w:fill="CCCCCC" w:val="clear"/>
            <w:tcMar>
              <w:bottom w:w="0" w:type="dxa"/>
            </w:tcMar>
            <w:vAlign w:val="center"/>
          </w:tcPr>
          <w:p>
            <w:pPr>
              <w:pStyle w:val="TableContents"/>
              <w:bidi w:val="0"/>
              <w:spacing w:before="0" w:after="283"/>
              <w:jc w:val="right"/>
              <w:rPr/>
            </w:pPr>
            <w:r>
              <w:rPr/>
              <w:t>​</w:t>
            </w:r>
          </w:p>
        </w:tc>
        <w:tc>
          <w:tcPr>
            <w:tcW w:w="1072" w:type="dxa"/>
            <w:tcBorders/>
            <w:shd w:fill="CCCCCC" w:val="clear"/>
            <w:tcMar>
              <w:bottom w:w="0" w:type="dxa"/>
            </w:tcMar>
            <w:vAlign w:val="center"/>
          </w:tcPr>
          <w:p>
            <w:pPr>
              <w:pStyle w:val="TableContents"/>
              <w:bidi w:val="0"/>
              <w:spacing w:before="0" w:after="283"/>
              <w:jc w:val="right"/>
              <w:rPr/>
            </w:pPr>
            <w:r>
              <w:rPr/>
              <w:t>63%</w:t>
            </w:r>
          </w:p>
        </w:tc>
        <w:tc>
          <w:tcPr>
            <w:tcW w:w="176"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54" w:type="dxa"/>
            <w:tcBorders/>
            <w:shd w:fill="CCCCCC" w:val="clear"/>
            <w:tcMar>
              <w:bottom w:w="0" w:type="dxa"/>
            </w:tcMar>
            <w:vAlign w:val="center"/>
          </w:tcPr>
          <w:p>
            <w:pPr>
              <w:pStyle w:val="TableContents"/>
              <w:bidi w:val="0"/>
              <w:spacing w:before="0" w:after="283"/>
              <w:jc w:val="left"/>
              <w:rPr/>
            </w:pPr>
            <w:r>
              <w:rPr/>
              <w:t>​</w:t>
            </w:r>
          </w:p>
        </w:tc>
        <w:tc>
          <w:tcPr>
            <w:tcW w:w="254" w:type="dxa"/>
            <w:tcBorders/>
            <w:shd w:fill="CCCCCC" w:val="clear"/>
            <w:tcMar>
              <w:bottom w:w="0" w:type="dxa"/>
            </w:tcMar>
            <w:vAlign w:val="center"/>
          </w:tcPr>
          <w:p>
            <w:pPr>
              <w:pStyle w:val="TableContents"/>
              <w:bidi w:val="0"/>
              <w:spacing w:before="0" w:after="283"/>
              <w:jc w:val="right"/>
              <w:rPr/>
            </w:pPr>
            <w:r>
              <w:rPr/>
              <w:t>​</w:t>
            </w:r>
          </w:p>
        </w:tc>
        <w:tc>
          <w:tcPr>
            <w:tcW w:w="892" w:type="dxa"/>
            <w:tcBorders/>
            <w:shd w:fill="CCCCCC" w:val="clear"/>
            <w:tcMar>
              <w:bottom w:w="0" w:type="dxa"/>
            </w:tcMar>
            <w:vAlign w:val="center"/>
          </w:tcPr>
          <w:p>
            <w:pPr>
              <w:pStyle w:val="TableContents"/>
              <w:bidi w:val="0"/>
              <w:spacing w:before="0" w:after="283"/>
              <w:jc w:val="right"/>
              <w:rPr/>
            </w:pPr>
            <w:r>
              <w:rPr/>
              <w:t>31%</w:t>
            </w:r>
          </w:p>
        </w:tc>
        <w:tc>
          <w:tcPr>
            <w:tcW w:w="255"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7" w:type="dxa"/>
            <w:tcBorders/>
            <w:tcMar>
              <w:bottom w:w="0" w:type="dxa"/>
            </w:tcMar>
            <w:vAlign w:val="center"/>
          </w:tcPr>
          <w:p>
            <w:pPr>
              <w:pStyle w:val="TableContents"/>
              <w:bidi w:val="0"/>
              <w:spacing w:before="0" w:after="283"/>
              <w:jc w:val="left"/>
              <w:rPr>
                <w:spacing w:val="4"/>
              </w:rPr>
            </w:pPr>
            <w:r>
              <w:rPr>
                <w:spacing w:val="4"/>
              </w:rPr>
              <w:t xml:space="preserve">$14.50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137%</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32%</w:t>
            </w:r>
          </w:p>
        </w:tc>
        <w:tc>
          <w:tcPr>
            <w:tcW w:w="25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927" w:type="dxa"/>
            <w:tcBorders/>
            <w:shd w:fill="CCCCCC" w:val="clear"/>
            <w:tcMar>
              <w:bottom w:w="0" w:type="dxa"/>
            </w:tcMar>
            <w:vAlign w:val="center"/>
          </w:tcPr>
          <w:p>
            <w:pPr>
              <w:pStyle w:val="TableContents"/>
              <w:bidi w:val="0"/>
              <w:spacing w:before="0" w:after="283"/>
              <w:jc w:val="left"/>
              <w:rPr>
                <w:spacing w:val="4"/>
              </w:rPr>
            </w:pPr>
            <w:r>
              <w:rPr>
                <w:spacing w:val="4"/>
              </w:rPr>
              <w:t xml:space="preserve">$19.54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 w:type="dxa"/>
            <w:tcBorders/>
            <w:shd w:fill="CCCCCC" w:val="clear"/>
            <w:tcMar>
              <w:bottom w:w="0" w:type="dxa"/>
            </w:tcMar>
            <w:vAlign w:val="center"/>
          </w:tcPr>
          <w:p>
            <w:pPr>
              <w:pStyle w:val="TableContents"/>
              <w:bidi w:val="0"/>
              <w:spacing w:before="0" w:after="283"/>
              <w:jc w:val="left"/>
              <w:rPr/>
            </w:pPr>
            <w:r>
              <w:rPr/>
              <w:t>​</w:t>
            </w:r>
          </w:p>
        </w:tc>
        <w:tc>
          <w:tcPr>
            <w:tcW w:w="176" w:type="dxa"/>
            <w:tcBorders/>
            <w:shd w:fill="CCCCCC" w:val="clear"/>
            <w:tcMar>
              <w:bottom w:w="0" w:type="dxa"/>
            </w:tcMar>
            <w:vAlign w:val="center"/>
          </w:tcPr>
          <w:p>
            <w:pPr>
              <w:pStyle w:val="TableContents"/>
              <w:bidi w:val="0"/>
              <w:spacing w:before="0" w:after="283"/>
              <w:jc w:val="right"/>
              <w:rPr/>
            </w:pPr>
            <w:r>
              <w:rPr/>
              <w:t>​</w:t>
            </w:r>
          </w:p>
        </w:tc>
        <w:tc>
          <w:tcPr>
            <w:tcW w:w="1072" w:type="dxa"/>
            <w:tcBorders/>
            <w:shd w:fill="CCCCCC" w:val="clear"/>
            <w:tcMar>
              <w:bottom w:w="0" w:type="dxa"/>
            </w:tcMar>
            <w:vAlign w:val="center"/>
          </w:tcPr>
          <w:p>
            <w:pPr>
              <w:pStyle w:val="TableContents"/>
              <w:bidi w:val="0"/>
              <w:spacing w:before="0" w:after="283"/>
              <w:jc w:val="right"/>
              <w:rPr/>
            </w:pPr>
            <w:r>
              <w:rPr/>
              <w:t>219%</w:t>
            </w:r>
          </w:p>
        </w:tc>
        <w:tc>
          <w:tcPr>
            <w:tcW w:w="176"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54" w:type="dxa"/>
            <w:tcBorders/>
            <w:shd w:fill="CCCCCC" w:val="clear"/>
            <w:tcMar>
              <w:bottom w:w="0" w:type="dxa"/>
            </w:tcMar>
            <w:vAlign w:val="center"/>
          </w:tcPr>
          <w:p>
            <w:pPr>
              <w:pStyle w:val="TableContents"/>
              <w:bidi w:val="0"/>
              <w:spacing w:before="0" w:after="283"/>
              <w:jc w:val="left"/>
              <w:rPr/>
            </w:pPr>
            <w:r>
              <w:rPr/>
              <w:t>​</w:t>
            </w:r>
          </w:p>
        </w:tc>
        <w:tc>
          <w:tcPr>
            <w:tcW w:w="254" w:type="dxa"/>
            <w:tcBorders/>
            <w:shd w:fill="CCCCCC" w:val="clear"/>
            <w:tcMar>
              <w:bottom w:w="0" w:type="dxa"/>
            </w:tcMar>
            <w:vAlign w:val="center"/>
          </w:tcPr>
          <w:p>
            <w:pPr>
              <w:pStyle w:val="TableContents"/>
              <w:bidi w:val="0"/>
              <w:spacing w:before="0" w:after="283"/>
              <w:jc w:val="right"/>
              <w:rPr/>
            </w:pPr>
            <w:r>
              <w:rPr/>
              <w:t>​</w:t>
            </w:r>
          </w:p>
        </w:tc>
        <w:tc>
          <w:tcPr>
            <w:tcW w:w="892" w:type="dxa"/>
            <w:tcBorders/>
            <w:shd w:fill="CCCCCC" w:val="clear"/>
            <w:tcMar>
              <w:bottom w:w="0" w:type="dxa"/>
            </w:tcMar>
            <w:vAlign w:val="center"/>
          </w:tcPr>
          <w:p>
            <w:pPr>
              <w:pStyle w:val="TableContents"/>
              <w:bidi w:val="0"/>
              <w:spacing w:before="0" w:after="283"/>
              <w:jc w:val="right"/>
              <w:rPr/>
            </w:pPr>
            <w:r>
              <w:rPr/>
              <w:t>37%</w:t>
            </w:r>
          </w:p>
        </w:tc>
        <w:tc>
          <w:tcPr>
            <w:tcW w:w="255"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against grant date share price of $6.13 </w:t>
      </w:r>
      <w:r>
        <mc:AlternateContent>
          <mc:Choice Requires="wps">
            <w:drawing>
              <wp:anchor behindDoc="0" distT="9779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PSO awards are intended to be one-time awards that will incentivize executives to reach long-term financial and strategic goals that align with investor interests and promote retention for key members of the executive management team. By enhancing these executives’ stock ownership levels, the PSOs are further strengthening the executives’ alignment with the interests of our investors.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PSOs provide a complementary compensation element to the annual equity grants. While the annual equity awards described earlier are partially tied to stock price performance over three years, these PSOs are intended to emphasize longer-sustained stockholder value growth. The performance hurdles are set at a level that would require extraordinary performance above and beyond what is expected or typical in our industry. These awards fall in line with our pay-for-performance philosophy in that returns to the executive will not be seen without guaranteed returns to investors over the same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non-CEO executives were eligible to receive PSOs, and we do not expect regular use of these awards in future. We have not historically granted special awards as part of our compensation program, absent extraordinary circumstances. However, we believe that this grant of PSOs provided a unique opportunity to enhance the equity ownership position of our executive leadership team and further incentivize them to continue to deliver strong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Important Compensation Policies Affecting the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Ownership Guidelines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2020, the Compensation Committee adopted minimum ownership requirements for Company stock for the executive officers to align executive interests with stockholders. The ownership threshold for the CEO has been established as five times his annual base salary. The other executive officers must own equity equal to three times their base salary.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2019, the Compensation Committee adopted stock ownership guidelines for our non-employee directors. These guidelines require that directors own equity equal to five times the annual cash retainer within five years of appointment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these guidelines will be reviewed annually by the Compensation Committee and the ownership thresholds must be achieved within five years of application of the policy. As of the record date, each of our executive officers and directors was in compliance with these stock ownership guidelines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into account the five-year ramp-up period for executive officers and directors who joined the Company after the Business Combination).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we adopted the Repay Holdings Corporation Clawback Policy (the “Clawback Policy”), effective as of October 2, 2023, ensuring compliance with all Dodd-Frank regulatory requirements. Among other things, the Clawback Policy generally requires reimbursement or forfeiture of any excess incentive compensation received by an executive during the three fiscal years immediately preceding any accounting restatement. The amount to be recovered will approximate the amount by which the executive’s incentive compensation for the relevant period exceeded amounts that would have been earned based on the restated financial results.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Clawback Policy applies to incentive compensation earned by or awarded to executives on or after October 2, 2023, the Amended and Restated Plan also includes a clawback provision, pursuant to which we may recover the unearned portion of cash-based or equity-based compensation granted under the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Anti-Hedging and Anti-Pledging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insider trading policy, our NEOs may only trade our securities during certain designated periods, as set out in our insider trading policy, and must obtain pre-clearance and approval prior to any transaction. All NEOs and directors are in compliance with this policy.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Perquisites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provide any material perquisites to our NEOs. Our NEOs are entitled to participate in our health, welfare and vacation benefits to the same degree that our other employees are entitled to participate.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our executive officers, as described below. For Messrs. Morris and Murphy, these employment agreements were entered in connection with Business Combination. For Messrs. Dempsey and Guthrie, these employment agreements were entered into at the commencement of each individual’s employment. Mr. Moore’s employment agreement was entered into in connection with his promotion to Executive Vice President in 2020. None of the employment agreements with our NEOs were entered into or amended since our 2023 Annual Meeting of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 with Mr. Morris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2019, we entered into a three-year employment agreement with Mr. Morris, which sets forth the terms and conditions of his service as CEO. On March 1, 2021, the Company and Mr. Morris entered into the First Amendment to his employment agreement expand the scope of the non-compete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 to better align with the current description of our business. On March 1, 2022, the Company and Mr. Morris entered into the Second Amendment to his employment agreement to increase his individual target level for his annual performance-based cash bonus. Mr. Morris’ employment agreement currently provides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salary of at least $355,000 per year;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performance-based cash bonus with a target amount of 100% of his base salary based on the achievement of certain performance objectives established by the Compensation Committee; </w:t>
      </w:r>
      <w:r>
        <mc:AlternateContent>
          <mc:Choice Requires="wps">
            <w:drawing>
              <wp:anchor behindDoc="0" distT="609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participate in our employee benefit plans; and </w:t>
      </w:r>
      <w:r>
        <mc:AlternateContent>
          <mc:Choice Requires="wps">
            <w:drawing>
              <wp:anchor behindDoc="0" distT="609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automatic renewals for successive one-year periods unless either party provides written notice at least 90 days prior to the end of the applicable term. </w:t>
      </w:r>
      <w:r>
        <mc:AlternateContent>
          <mc:Choice Requires="wps">
            <w:drawing>
              <wp:anchor behindDoc="0" distT="609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 with Mr. Murphy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2019, we entered into a three-year employment agreement with Mr. Murphy, which sets forth the terms and conditions of his service as Chief Financial Officer. On March 1, 2021, Mr. Murphy’s employment agreement was amended to expand the scope of the non-compete provision to better align with the current description of our business and currently provides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salary of at least $275,000 per year;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performance-based cash bonus with a target amount of 75% of his base salary based on the achievement of certain performance objectives established by the Compensation Committee; </w:t>
      </w:r>
      <w:r>
        <mc:AlternateContent>
          <mc:Choice Requires="wps">
            <w:drawing>
              <wp:anchor behindDoc="0" distT="609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participate in our employee benefit plans; and </w:t>
      </w:r>
      <w:r>
        <mc:AlternateContent>
          <mc:Choice Requires="wps">
            <w:drawing>
              <wp:anchor behindDoc="0" distT="609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automatic renewals for successive one-year periods unless either party provides written notice at least 90 days prior to the end of the applicable term. </w:t>
      </w:r>
      <w:r>
        <mc:AlternateContent>
          <mc:Choice Requires="wps">
            <w:drawing>
              <wp:anchor behindDoc="0" distT="609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 with Mr. Dempsey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2019, we entered into a three-year employment agreement with Mr. Dempsey, which sets forth the terms and conditions of his service as General Counsel. On March 1, 2021, Mr. Dempsey’s employment agreement was amended to expand the scope of the non-compete provision to better align with the current description of our business and currently provides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salary of at least $350,000 per year;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performance-based cash bonus with a target amount of 50% of his base salary based on the achievement of certain performance objectives established by the Compensation Committee; </w:t>
      </w:r>
      <w:r>
        <mc:AlternateContent>
          <mc:Choice Requires="wps">
            <w:drawing>
              <wp:anchor behindDoc="0" distT="609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participate in our employee benefit plans; and </w:t>
      </w:r>
      <w:r>
        <mc:AlternateContent>
          <mc:Choice Requires="wps">
            <w:drawing>
              <wp:anchor behindDoc="0" distT="609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automatic renewals for successive one-year periods unless either party provides written notice at least 90 days prior to the end of the applicable term. </w:t>
      </w:r>
      <w:r>
        <mc:AlternateContent>
          <mc:Choice Requires="wps">
            <w:drawing>
              <wp:anchor behindDoc="0" distT="609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 with Mr. Guthrie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2022, we entered into an employment agreement with Mr. Guthrie, which sets forth the terms and conditions of his service as Chief Technology Officer. On March 20, 2023, Mr. Guthrie’s employment agreement was amended to increase his individual target level for his annual performance-based cash bonus and currently provides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salary of at least $350,000 per year;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performance-based cash bonus with a target amount of 75% of his base salary based on the achievement of certain performance objectives established by the Compensation Committee; and </w:t>
      </w:r>
      <w:r>
        <mc:AlternateContent>
          <mc:Choice Requires="wps">
            <w:drawing>
              <wp:anchor behindDoc="0" distT="609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participate in our employee benefit plans. </w:t>
      </w:r>
      <w:r>
        <mc:AlternateContent>
          <mc:Choice Requires="wps">
            <w:drawing>
              <wp:anchor behindDoc="0" distT="609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 with Mr. Moore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2020, we entered into a three-year employment agreement with Mr. Moore, which sets forth the terms and conditions of his service as Executive Vice President, Corporate Development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Strategy (now Executive Vice President, Consumer Payments). On March 1, 2021, Mr. Moore’s employment agreement was amended to (i) adjust his “deal bonus” amounts and (ii) expand the scope of the non-compete provision to better align with the current description of our business. On March 20, 2023, Mr. Moore’s employment agreement was further amended to increase his annual performance-based cash bonus target amount and to make other corresponding changes in accordance his new role as Executive Vice President, Consumer Payments (including removal of the “deal bonus” structure that was applicable in his role Executive Vice President, Corporate Development and Strategy). Mr. Moore’s employment agreement currently provides for: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salary of at least $206,000 per year;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performance-based cash bonus with a target amount of 75% of his base salary based on the achievement of certain performance objectives established by the Compensation Committee;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participate in our employee benefit plans; and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automatic renewals for successive one-year periods unless either party provides written notice at least 90 days prior to the end of the applicable term.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Benefits under the Employment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NEO’s employment agreements also provide for severance benefits upon a termination of employment and certain restrictive covenants, including non-competition and non-solicitation covenants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Post-Termination Restrictions and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post-employment benefits that each of our NEOs would be entitled to receive along with the restrictions each NEO would face in connection with various termination of employment and change-in-control scenarios. The Compensation Committee believes that our NEOs should be provided with reasonable severance benefits in the event a NEO is terminated under certain circumstances. Severance benefits for NEOs reflect the fact that the NEO may not be able to find reasonably comparable employment within a reasonable period of time following a termination. In addition, the Compensation Committee believes that certain post-termination benefits such as change in control payments will allow the NEOs to focus their time on potential transactions that may be beneficial to the Company, rather than have concern for their own employment prospects following a change in control.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and Change in Control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employment agreements for each of our NEOs, in the event of a termination of the executive’s employment by us without “Cause” ​(as defined in the agreements), by the executive for “Good Reason,” ​(as defined in the agreements), or a non-renewal by us, the executive is entitled to receive the following payments and benefits: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the sum of base salary and target annual bonus, payable in installments over the Severance Period (as defined below); </w:t>
      </w:r>
      <w:r>
        <mc:AlternateContent>
          <mc:Choice Requires="wps">
            <w:drawing>
              <wp:anchor behindDoc="0" distT="7874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 vesting of all time-based equity awards that would have vested through the Severance Period; </w:t>
      </w:r>
      <w:r>
        <mc:AlternateContent>
          <mc:Choice Requires="wps">
            <w:drawing>
              <wp:anchor behindDoc="0" distT="7874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performance-based equity awards that remain outstanding and eligible to vest based on achievement of performance objectives through the Severance Period; and </w:t>
      </w:r>
      <w:r>
        <mc:AlternateContent>
          <mc:Choice Requires="wps">
            <w:drawing>
              <wp:anchor behindDoc="0" distT="7874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stock options remain outstanding until the earlier of (i) the expiration of the Severance Period and (ii) the original expiration of the stock option. </w:t>
      </w:r>
      <w:r>
        <mc:AlternateContent>
          <mc:Choice Requires="wps">
            <w:drawing>
              <wp:anchor behindDoc="0" distT="7874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period is 18 months; provided that in the event such termination is on or within 24 months following a change in control or prior to and in anticipation of a change in control, the severance period is 30 months (such applicable period, the “Severance Period”). Such severance payments and benefits are subject to execution and non-revocation of a release of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each NEOs employment agreements, in the event of a termination due to death or incapacity, our NEOs are entitled to the annual bonus that would have been paid had the executive remained employed until the end of the applicable bonus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termination of employment, each of our NEOs are entitled to a lump sum equal to (i) any earned but unpaid base salary, (ii) any earned but unpaid annual bonus, (iii) any unreimbursed business expenses and (iv) vested and accrued employee benefits, if any, to which the executive is entitled under employee benefit plans (“Accrued Rights”).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Award Treatment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equity awards in the event of a termination of employment or change in control is governed by the employment agreements, the Amended and Restated Plan and the equity award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voluntary resignation for any reason other than good reason or termination for cause, an NEO would only be entitled to his respective Accrued Rights. Upon a termination without cause or a voluntary termination for good reason prior to a change in control, (i) all unvested restricted stock that would have vested through the Severance Period will vest, (ii) unvested performance share units will be vested on a pro rata basis with respect to the employment requirement (with the pro rata period including the Severance Period), and the payout of the prorated performance share units will remain subject to actual performance at the end of the performance period, and (iii) all unvested performance-based stock options with respect to which the employment requirement has not been satisfied will be vested on a pro rata basis with respect to the employment requirement (with the pro rata period including the Severance Period), and the payout of those prorated performance-based stock options, plus the performance-based stock options with respect to which the employment requirement had been satisfied previously, will continue to be eligible to vest subject to the performance requirements until the earlier of March 18, 2028 or the end of the Severance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death or disability prior to a change in control, (i) all unvested restricted stock will fully accelerate, (ii) unvested performance share units will be vested on a pro rata basis with respect to the employment requirement, and the payout of the prorated performance share units will remain subject to actual performance at the end of the performance period, and (iii) unvested performance-based stock options with respect to which the employment requirement has not been satisfied will be vested on a pro rata basis with respect to the employment requirement, and the payout of those prorated performance-based stock options, plus the performance-based stock options with respect to which the employment requirement had been satisfied previously, will continue to be eligible to vest subject to the performance requirements until March 18,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change of control, unvested restricted stock will become fully vested if the successor to the Company does not assume or provide a substitute for the unvested shares under the awards and the holder remains employed as of such date. If the successor to the Company does assume or provide a substitute for the unvested restricted stock, the assumed or substitute award will remain outstanding subject to the same vesting requirements after the change in control for each holder who remains employed after the change in control. In the event of a change of control, if the successor to the Company does not assume or provide a substitute for the unvested performance share units, the unvested performance share units will vest as of the change in control based on actual performance up to the date of the change in control if the holder remains employed as of such date. If the successor to the Company does assume or provide a substitute for the unvested performance share units, the unvested performance share units will remain outstanding and subject to employment-based vesting with respect to the number of shares earned as of the date of the change in control determined based on actual performance up to the date of the change in control for holders who remain employed as of the date of the change in control. Unvested performance share units that were granted to holders who terminated employment prior to the change in control and that remain outstanding as of the change in control also will vest as of the change in control based on actual performance up to the date of the change in control. In the event of a change of control, if the successor to the Company does not assume or provide a substitute for the unvested performance-based options, the unvested performance-based stock options will vest in full as of the date of the change in control if the holder remains employed as of such date. If the successor to the Company does assume or provide a substitute for the unvested performance-based options, the unvested performance-based stock options will remain outstanding and subject to employment-based vesting with respect to all of such performance-based options for holders who remain employed as of the date of the change in control. Unvested performance-based options that were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ACM"/>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holders who terminated employment prior to the change in control and that remain outstanding as of the change in control also will vest as of the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equity award remains outstanding after the change in control, all unvested restricted stock, unvested performance share units and unvested performance-based stock options will fully accelerate and vest after any adjustments described above in connection with the change in control upon a termination without cause or a voluntary termination for good reason or death or disability.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Non-Compete and Non-Solicitation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NEOs are prohibited, pursuant to their employment agreements, from soliciting our customers or vendors, or recruiting our employees for a period of 24 months following the separation date. In addition, each NEO has agreed to not, directly or indirectly, compete with Repay within the Restricted Territory, as defined in the NEO’s employment agreement, for a period of 24 months. Pursuant to the employment agreements, the NEOs are also prohibited from divulging or making use of any Confidential Information or Trade Secrets (as defined in the agreements) during the NEO’s employment and following cessation of employment with the Company for any reason.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Health and Insurance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their employment agreements, our NEOs are entitled to participate in our health, welfare and vacation benefits to the same degree that our other employees are entitled to participate.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Retirement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a qualified retirement plan under Section 401(k) of the Internal Revenue Code. The plan covers all employees, including our NEOs. The purpose of this plan is to provide all employees with a tax-advantaged savings opportunity for retirement. Eligible compensation under this plan is capped at Internal Revenue Code annual limits. The plan provides for matching contributions of 50% of participant deferrals, with a maximum annual employer contribution of 3% of a participant’s compensation. The matching contribution formula is applied on a payroll to payroll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to provide contractual indemnification in addition to the indemnification provided in our Certificate of Incorporation. Each indemnification agreement provides for indemnification and advancements by the Company of certain expenses and costs relating to claims, suits or proceedings arising from his service to the Company or, at our request, service to other entities, as officers or directors to the maximum extent permitted by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Compensation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Risk Assessment of Compensation Policies and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and management work together to perform a risk assessment of our executive compensation programs on at least an annual basis to determine whether any risks arising from such programs and policies are reasonably likely to have a material adverse effect on the Company. The Compensation Committee discusses this assessment with management and the ways in which risk is effectively managed or mitigated as it relates to our compensation programs and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we assessed the risks associated with our compensation programs for all employees and have concluded that our compensation policies and practices do not create risks that are reasonably likely to have a material adverse effect on the Company. Because our compensation programs put a heavy emphasis on performance-based incentives, we strive to ensure that such incentives do not result in actions that may conflict with the long-term best interests of the Company and our stockholders. The Compensation Committee believes that our compensation programs do not encourage excessive risk taking but instead encourage behaviors that support sustainable value creation for the Company and our stockholders.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believe that our compensation program reflects an appropriate mix of compensation elements and balances current and long-term performance objectives, cash and equity compensation, and risks and rewards.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Impact of Accounting and Tax Treatment of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regularly considers the various tax and accounting implications when designing our executive compensation programs. When determining the amount of long-term incentives and equity grants to certain executives and employees, the compensation committee considers and reviews the compensation costs associated with such grants.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162(m) of the Internal Revenue Code generally limits the deductibility of compensation paid to certain executive officers in excess of $1 million during any taxable year. 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We intend to design our executive compensation arrangements to be consistent with the interests of our stockholders. We believe that it is important to preserve flexibility in administering compensation programs to promote various corporate goals. Accordingly, we have not adopted a policy that all compensation must qualify as deductible under Section 162(m) of the Internal Revenue Code, therefore, some amounts paid under our compensation programs may not be deductible as the result of Section 162(m).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CO"/>
      <w:bookmarkEnd w:id="15"/>
      <w:r>
        <w:rPr>
          <w:rFonts w:ascii="calibri;arial;sans-serif" w:hAnsi="calibri;arial;sans-serif"/>
          <w:b w:val="false"/>
          <w:i w:val="false"/>
          <w:caps w:val="false"/>
          <w:smallCaps w:val="false"/>
          <w:color w:val="000000"/>
          <w:sz w:val="16"/>
        </w:rPr>
        <w:t>​</w:t>
      </w:r>
      <w:bookmarkStart w:id="16" w:name="tSEC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Executive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annual and long-term compensation awarded to, earned by, or paid to our NEOs for all services rendered in all capacities to the Company, or any of our subsidiaries, for the last three completed fiscal years (or, in the case Mr. Guthrie, for the applicable fiscal years for which he was determined to be an NEO). </w:t>
      </w:r>
    </w:p>
    <w:tbl>
      <w:tblPr>
        <w:tblW w:w="12585" w:type="dxa"/>
        <w:jc w:val="left"/>
        <w:tblInd w:w="1393" w:type="dxa"/>
        <w:tblLayout w:type="fixed"/>
        <w:tblCellMar>
          <w:top w:w="0" w:type="dxa"/>
          <w:left w:w="0" w:type="dxa"/>
          <w:bottom w:w="43" w:type="dxa"/>
          <w:right w:w="0" w:type="dxa"/>
        </w:tblCellMar>
      </w:tblPr>
      <w:tblGrid>
        <w:gridCol w:w="1097"/>
        <w:gridCol w:w="109"/>
        <w:gridCol w:w="109"/>
        <w:gridCol w:w="109"/>
        <w:gridCol w:w="109"/>
        <w:gridCol w:w="586"/>
        <w:gridCol w:w="109"/>
        <w:gridCol w:w="109"/>
        <w:gridCol w:w="109"/>
        <w:gridCol w:w="109"/>
        <w:gridCol w:w="109"/>
        <w:gridCol w:w="886"/>
        <w:gridCol w:w="109"/>
        <w:gridCol w:w="109"/>
        <w:gridCol w:w="109"/>
        <w:gridCol w:w="114"/>
        <w:gridCol w:w="114"/>
        <w:gridCol w:w="364"/>
        <w:gridCol w:w="117"/>
        <w:gridCol w:w="109"/>
        <w:gridCol w:w="109"/>
        <w:gridCol w:w="109"/>
        <w:gridCol w:w="109"/>
        <w:gridCol w:w="1066"/>
        <w:gridCol w:w="109"/>
        <w:gridCol w:w="109"/>
        <w:gridCol w:w="109"/>
        <w:gridCol w:w="109"/>
        <w:gridCol w:w="109"/>
        <w:gridCol w:w="886"/>
        <w:gridCol w:w="109"/>
        <w:gridCol w:w="109"/>
        <w:gridCol w:w="109"/>
        <w:gridCol w:w="123"/>
        <w:gridCol w:w="123"/>
        <w:gridCol w:w="1006"/>
        <w:gridCol w:w="126"/>
        <w:gridCol w:w="109"/>
        <w:gridCol w:w="109"/>
        <w:gridCol w:w="137"/>
        <w:gridCol w:w="137"/>
        <w:gridCol w:w="965"/>
        <w:gridCol w:w="139"/>
        <w:gridCol w:w="109"/>
        <w:gridCol w:w="109"/>
        <w:gridCol w:w="109"/>
        <w:gridCol w:w="109"/>
        <w:gridCol w:w="1066"/>
        <w:gridCol w:w="109"/>
        <w:gridCol w:w="154"/>
      </w:tblGrid>
      <w:tr>
        <w:trPr/>
        <w:tc>
          <w:tcPr>
            <w:tcW w:w="1097"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97" w:type="dxa"/>
            <w:vMerge w:val="restart"/>
            <w:tcBorders/>
            <w:shd w:fill="CBCBCB" w:val="clear"/>
            <w:tcMar>
              <w:bottom w:w="0" w:type="dxa"/>
            </w:tcMar>
            <w:vAlign w:val="center"/>
          </w:tcPr>
          <w:p>
            <w:pPr>
              <w:pStyle w:val="TableContents"/>
              <w:bidi w:val="0"/>
              <w:spacing w:lineRule="atLeast" w:line="240" w:before="0" w:after="0"/>
              <w:ind w:left="200" w:right="0" w:hanging="200"/>
              <w:jc w:val="left"/>
              <w:rPr>
                <w:b/>
              </w:rPr>
            </w:pPr>
            <w:r>
              <w:rPr>
                <w:b/>
                <w:spacing w:val="-4"/>
              </w:rPr>
              <w:t>John Morris</w:t>
            </w:r>
            <w:r>
              <w:rPr>
                <w:b/>
              </w:rPr>
              <w:t xml:space="preserve"> </w:t>
              <w:br/>
            </w:r>
            <w:r>
              <w:rPr>
                <w:b w:val="false"/>
                <w:spacing w:val="4"/>
              </w:rPr>
              <w:t xml:space="preserve">Chief Executive Officer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500,000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lineRule="atLeast" w:line="240" w:before="0" w:after="283"/>
              <w:jc w:val="right"/>
              <w:rPr/>
            </w:pPr>
            <w:r>
              <w:rPr/>
              <w:t>​</w:t>
            </w:r>
          </w:p>
        </w:tc>
        <w:tc>
          <w:tcPr>
            <w:tcW w:w="364" w:type="dxa"/>
            <w:tcBorders/>
            <w:shd w:fill="CBCBCB" w:val="clear"/>
            <w:tcMar>
              <w:bottom w:w="0" w:type="dxa"/>
            </w:tcMar>
            <w:vAlign w:val="center"/>
          </w:tcPr>
          <w:p>
            <w:pPr>
              <w:pStyle w:val="TableContents"/>
              <w:bidi w:val="0"/>
              <w:spacing w:lineRule="atLeast" w:line="240"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7,952,685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lineRule="atLeast" w:line="240" w:before="0" w:after="283"/>
              <w:jc w:val="right"/>
              <w:rPr/>
            </w:pPr>
            <w:r>
              <w:rPr/>
              <w:t>​</w:t>
            </w:r>
          </w:p>
        </w:tc>
        <w:tc>
          <w:tcPr>
            <w:tcW w:w="1006" w:type="dxa"/>
            <w:tcBorders/>
            <w:shd w:fill="CBCBCB" w:val="clear"/>
            <w:tcMar>
              <w:bottom w:w="0" w:type="dxa"/>
            </w:tcMar>
            <w:vAlign w:val="center"/>
          </w:tcPr>
          <w:p>
            <w:pPr>
              <w:pStyle w:val="TableContents"/>
              <w:bidi w:val="0"/>
              <w:spacing w:lineRule="atLeast" w:line="240" w:before="0" w:after="283"/>
              <w:jc w:val="right"/>
              <w:rPr/>
            </w:pPr>
            <w:r>
              <w:rPr/>
              <w:t>457,875</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lineRule="atLeast" w:line="240" w:before="0" w:after="283"/>
              <w:jc w:val="right"/>
              <w:rPr/>
            </w:pPr>
            <w:r>
              <w:rPr/>
              <w:t>​</w:t>
            </w:r>
          </w:p>
        </w:tc>
        <w:tc>
          <w:tcPr>
            <w:tcW w:w="965" w:type="dxa"/>
            <w:tcBorders/>
            <w:shd w:fill="CBCBCB" w:val="clear"/>
            <w:tcMar>
              <w:bottom w:w="0" w:type="dxa"/>
            </w:tcMar>
            <w:vAlign w:val="center"/>
          </w:tcPr>
          <w:p>
            <w:pPr>
              <w:pStyle w:val="TableContents"/>
              <w:bidi w:val="0"/>
              <w:spacing w:lineRule="atLeast" w:line="240" w:before="0" w:after="283"/>
              <w:jc w:val="right"/>
              <w:rPr/>
            </w:pPr>
            <w:r>
              <w:rPr/>
              <w:t>12,020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8,922,581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475,833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5,499,988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113,010</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12,200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6,101,031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355,000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4,749,989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310,614</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10,502</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5,426,105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restart"/>
            <w:tcBorders/>
            <w:tcMar>
              <w:bottom w:w="0" w:type="dxa"/>
            </w:tcMar>
            <w:vAlign w:val="center"/>
          </w:tcPr>
          <w:p>
            <w:pPr>
              <w:pStyle w:val="TableContents"/>
              <w:bidi w:val="0"/>
              <w:spacing w:lineRule="atLeast" w:line="240" w:before="0" w:after="0"/>
              <w:ind w:left="200" w:right="0" w:hanging="200"/>
              <w:jc w:val="left"/>
              <w:rPr>
                <w:b/>
              </w:rPr>
            </w:pPr>
            <w:r>
              <w:rPr>
                <w:b/>
                <w:spacing w:val="-4"/>
              </w:rPr>
              <w:t>Tim Murphy</w:t>
            </w:r>
            <w:r>
              <w:rPr>
                <w:b/>
              </w:rPr>
              <w:t xml:space="preserve"> </w:t>
              <w:br/>
            </w:r>
            <w:r>
              <w:rPr>
                <w:b w:val="false"/>
                <w:spacing w:val="4"/>
              </w:rPr>
              <w:t xml:space="preserve">Chief Financial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397,500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364" w:type="dxa"/>
            <w:tcBorders/>
            <w:tcMar>
              <w:bottom w:w="0" w:type="dxa"/>
            </w:tcMar>
            <w:vAlign w:val="center"/>
          </w:tcPr>
          <w:p>
            <w:pPr>
              <w:pStyle w:val="TableContents"/>
              <w:bidi w:val="0"/>
              <w:spacing w:lineRule="atLeast" w:line="24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1,940,451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749,997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lineRule="atLeast" w:line="240" w:before="0" w:after="283"/>
              <w:jc w:val="right"/>
              <w:rPr/>
            </w:pPr>
            <w:r>
              <w:rPr/>
              <w:t>​</w:t>
            </w:r>
          </w:p>
        </w:tc>
        <w:tc>
          <w:tcPr>
            <w:tcW w:w="1006" w:type="dxa"/>
            <w:tcBorders/>
            <w:tcMar>
              <w:bottom w:w="0" w:type="dxa"/>
            </w:tcMar>
            <w:vAlign w:val="center"/>
          </w:tcPr>
          <w:p>
            <w:pPr>
              <w:pStyle w:val="TableContents"/>
              <w:bidi w:val="0"/>
              <w:spacing w:lineRule="atLeast" w:line="240" w:before="0" w:after="283"/>
              <w:jc w:val="right"/>
              <w:rPr/>
            </w:pPr>
            <w:r>
              <w:rPr/>
              <w:t>273,902</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lineRule="atLeast" w:line="240" w:before="0" w:after="283"/>
              <w:jc w:val="right"/>
              <w:rPr/>
            </w:pPr>
            <w:r>
              <w:rPr/>
              <w:t>​</w:t>
            </w:r>
          </w:p>
        </w:tc>
        <w:tc>
          <w:tcPr>
            <w:tcW w:w="965" w:type="dxa"/>
            <w:tcBorders/>
            <w:tcMar>
              <w:bottom w:w="0" w:type="dxa"/>
            </w:tcMar>
            <w:vAlign w:val="center"/>
          </w:tcPr>
          <w:p>
            <w:pPr>
              <w:pStyle w:val="TableContents"/>
              <w:bidi w:val="0"/>
              <w:spacing w:lineRule="atLeast" w:line="240" w:before="0" w:after="283"/>
              <w:jc w:val="right"/>
              <w:rPr/>
            </w:pPr>
            <w:r>
              <w:rPr/>
              <w:t>11,233</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3,373,083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368,042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1,585,987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65,558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5" w:type="dxa"/>
            <w:tcBorders/>
            <w:tcMar>
              <w:bottom w:w="0" w:type="dxa"/>
            </w:tcMar>
            <w:vAlign w:val="center"/>
          </w:tcPr>
          <w:p>
            <w:pPr>
              <w:pStyle w:val="TableContents"/>
              <w:bidi w:val="0"/>
              <w:spacing w:before="0" w:after="283"/>
              <w:jc w:val="right"/>
              <w:rPr/>
            </w:pPr>
            <w:r>
              <w:rPr/>
              <w:t>12,200</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2,031,787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283,250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371,753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5" w:type="dxa"/>
            <w:tcBorders/>
            <w:tcMar>
              <w:bottom w:w="0" w:type="dxa"/>
            </w:tcMar>
            <w:vAlign w:val="center"/>
          </w:tcPr>
          <w:p>
            <w:pPr>
              <w:pStyle w:val="TableContents"/>
              <w:bidi w:val="0"/>
              <w:spacing w:before="0" w:after="283"/>
              <w:jc w:val="right"/>
              <w:rPr/>
            </w:pPr>
            <w:r>
              <w:rPr/>
              <w:t>18,234</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2,263,541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restart"/>
            <w:tcBorders/>
            <w:shd w:fill="CBCBCB" w:val="clear"/>
            <w:tcMar>
              <w:bottom w:w="0" w:type="dxa"/>
            </w:tcMar>
            <w:vAlign w:val="center"/>
          </w:tcPr>
          <w:p>
            <w:pPr>
              <w:pStyle w:val="TableContents"/>
              <w:bidi w:val="0"/>
              <w:spacing w:lineRule="atLeast" w:line="240" w:before="0" w:after="0"/>
              <w:ind w:left="200" w:right="0" w:hanging="200"/>
              <w:jc w:val="left"/>
              <w:rPr>
                <w:b/>
              </w:rPr>
            </w:pPr>
            <w:r>
              <w:rPr>
                <w:b/>
                <w:spacing w:val="-4"/>
              </w:rPr>
              <w:t>Tyler Dempsey</w:t>
            </w:r>
            <w:r>
              <w:rPr>
                <w:b/>
              </w:rPr>
              <w:t xml:space="preserve"> </w:t>
              <w:br/>
            </w:r>
            <w:r>
              <w:rPr>
                <w:b w:val="false"/>
                <w:spacing w:val="4"/>
              </w:rPr>
              <w:t xml:space="preserve">General Counsel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383,250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lineRule="atLeast" w:line="240" w:before="0" w:after="283"/>
              <w:jc w:val="right"/>
              <w:rPr/>
            </w:pPr>
            <w:r>
              <w:rPr/>
              <w:t>​</w:t>
            </w:r>
          </w:p>
        </w:tc>
        <w:tc>
          <w:tcPr>
            <w:tcW w:w="364" w:type="dxa"/>
            <w:tcBorders/>
            <w:shd w:fill="CBCBCB" w:val="clear"/>
            <w:tcMar>
              <w:bottom w:w="0" w:type="dxa"/>
            </w:tcMar>
            <w:vAlign w:val="center"/>
          </w:tcPr>
          <w:p>
            <w:pPr>
              <w:pStyle w:val="TableContents"/>
              <w:bidi w:val="0"/>
              <w:spacing w:lineRule="atLeast" w:line="240"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1,162,311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499,994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lineRule="atLeast" w:line="240" w:before="0" w:after="283"/>
              <w:jc w:val="right"/>
              <w:rPr/>
            </w:pPr>
            <w:r>
              <w:rPr/>
              <w:t>​</w:t>
            </w:r>
          </w:p>
        </w:tc>
        <w:tc>
          <w:tcPr>
            <w:tcW w:w="1006" w:type="dxa"/>
            <w:tcBorders/>
            <w:shd w:fill="CBCBCB" w:val="clear"/>
            <w:tcMar>
              <w:bottom w:w="0" w:type="dxa"/>
            </w:tcMar>
            <w:vAlign w:val="center"/>
          </w:tcPr>
          <w:p>
            <w:pPr>
              <w:pStyle w:val="TableContents"/>
              <w:bidi w:val="0"/>
              <w:spacing w:lineRule="atLeast" w:line="240" w:before="0" w:after="283"/>
              <w:jc w:val="right"/>
              <w:rPr/>
            </w:pPr>
            <w:r>
              <w:rPr/>
              <w:t>176,774</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lineRule="atLeast" w:line="240" w:before="0" w:after="283"/>
              <w:jc w:val="right"/>
              <w:rPr/>
            </w:pPr>
            <w:r>
              <w:rPr/>
              <w:t>​</w:t>
            </w:r>
          </w:p>
        </w:tc>
        <w:tc>
          <w:tcPr>
            <w:tcW w:w="965" w:type="dxa"/>
            <w:tcBorders/>
            <w:shd w:fill="CBCBCB" w:val="clear"/>
            <w:tcMar>
              <w:bottom w:w="0" w:type="dxa"/>
            </w:tcMar>
            <w:vAlign w:val="center"/>
          </w:tcPr>
          <w:p>
            <w:pPr>
              <w:pStyle w:val="TableContents"/>
              <w:bidi w:val="0"/>
              <w:spacing w:lineRule="atLeast" w:line="240" w:before="0" w:after="283"/>
              <w:jc w:val="right"/>
              <w:rPr/>
            </w:pPr>
            <w:r>
              <w:rPr/>
              <w:t>13,200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2,235,530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370,417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859,989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46,302</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9,363</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1,286,070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350,000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844,989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306,239</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11,400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1,512,628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restart"/>
            <w:tcBorders/>
            <w:tcMar>
              <w:bottom w:w="0" w:type="dxa"/>
            </w:tcMar>
            <w:vAlign w:val="center"/>
          </w:tcPr>
          <w:p>
            <w:pPr>
              <w:pStyle w:val="TableContents"/>
              <w:bidi w:val="0"/>
              <w:spacing w:lineRule="atLeast" w:line="240" w:before="0" w:after="0"/>
              <w:ind w:left="200" w:right="0" w:hanging="200"/>
              <w:jc w:val="left"/>
              <w:rPr>
                <w:b/>
              </w:rPr>
            </w:pPr>
            <w:r>
              <w:rPr>
                <w:b/>
                <w:spacing w:val="-4"/>
              </w:rPr>
              <w:t>David Guthrie</w:t>
            </w:r>
            <w:r>
              <w:rPr>
                <w:b/>
              </w:rPr>
              <w:t xml:space="preserve"> </w:t>
              <w:br/>
            </w:r>
            <w:r>
              <w:rPr>
                <w:b w:val="false"/>
                <w:spacing w:val="4"/>
              </w:rPr>
              <w:t xml:space="preserve">Chief Technology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391,667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364" w:type="dxa"/>
            <w:tcBorders/>
            <w:tcMar>
              <w:bottom w:w="0" w:type="dxa"/>
            </w:tcMar>
            <w:vAlign w:val="center"/>
          </w:tcPr>
          <w:p>
            <w:pPr>
              <w:pStyle w:val="TableContents"/>
              <w:bidi w:val="0"/>
              <w:spacing w:lineRule="atLeast" w:line="24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1,345,836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749,997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lineRule="atLeast" w:line="240" w:before="0" w:after="283"/>
              <w:jc w:val="right"/>
              <w:rPr/>
            </w:pPr>
            <w:r>
              <w:rPr/>
              <w:t>​</w:t>
            </w:r>
          </w:p>
        </w:tc>
        <w:tc>
          <w:tcPr>
            <w:tcW w:w="1006" w:type="dxa"/>
            <w:tcBorders/>
            <w:tcMar>
              <w:bottom w:w="0" w:type="dxa"/>
            </w:tcMar>
            <w:vAlign w:val="center"/>
          </w:tcPr>
          <w:p>
            <w:pPr>
              <w:pStyle w:val="TableContents"/>
              <w:bidi w:val="0"/>
              <w:spacing w:lineRule="atLeast" w:line="240" w:before="0" w:after="283"/>
              <w:jc w:val="right"/>
              <w:rPr/>
            </w:pPr>
            <w:r>
              <w:rPr/>
              <w:t>258,229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lineRule="atLeast" w:line="240" w:before="0" w:after="283"/>
              <w:jc w:val="right"/>
              <w:rPr/>
            </w:pPr>
            <w:r>
              <w:rPr/>
              <w:t>​</w:t>
            </w:r>
          </w:p>
        </w:tc>
        <w:tc>
          <w:tcPr>
            <w:tcW w:w="965" w:type="dxa"/>
            <w:tcBorders/>
            <w:tcMar>
              <w:bottom w:w="0" w:type="dxa"/>
            </w:tcMar>
            <w:vAlign w:val="center"/>
          </w:tcPr>
          <w:p>
            <w:pPr>
              <w:pStyle w:val="TableContents"/>
              <w:bidi w:val="0"/>
              <w:spacing w:lineRule="atLeast" w:line="240" w:before="0" w:after="283"/>
              <w:jc w:val="right"/>
              <w:rPr/>
            </w:pPr>
            <w:r>
              <w:rPr/>
              <w:t>9,119</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2,754,847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331,603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810,167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41,450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5"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1,183,220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restart"/>
            <w:tcBorders/>
            <w:shd w:fill="CBCBCB" w:val="clear"/>
            <w:tcMar>
              <w:bottom w:w="0" w:type="dxa"/>
            </w:tcMar>
            <w:vAlign w:val="center"/>
          </w:tcPr>
          <w:p>
            <w:pPr>
              <w:pStyle w:val="TableContents"/>
              <w:bidi w:val="0"/>
              <w:spacing w:lineRule="atLeast" w:line="240" w:before="0" w:after="0"/>
              <w:ind w:left="200" w:right="0" w:hanging="200"/>
              <w:jc w:val="left"/>
              <w:rPr/>
            </w:pPr>
            <w:r>
              <w:rPr>
                <w:b/>
                <w:spacing w:val="-4"/>
              </w:rPr>
              <w:t>Jacob H. Moore</w:t>
            </w:r>
            <w:r>
              <w:rPr/>
              <w:t xml:space="preserve"> </w:t>
              <w:br/>
            </w:r>
            <w:r>
              <w:rPr>
                <w:spacing w:val="4"/>
              </w:rPr>
              <w:t xml:space="preserve">Executive Vice President, Consumer Payments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389,616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lineRule="atLeast" w:line="240" w:before="0" w:after="283"/>
              <w:jc w:val="right"/>
              <w:rPr/>
            </w:pPr>
            <w:r>
              <w:rPr/>
              <w:t>​</w:t>
            </w:r>
          </w:p>
        </w:tc>
        <w:tc>
          <w:tcPr>
            <w:tcW w:w="364" w:type="dxa"/>
            <w:tcBorders/>
            <w:shd w:fill="CBCBCB" w:val="clear"/>
            <w:tcMar>
              <w:bottom w:w="0" w:type="dxa"/>
            </w:tcMar>
            <w:vAlign w:val="center"/>
          </w:tcPr>
          <w:p>
            <w:pPr>
              <w:pStyle w:val="TableContents"/>
              <w:bidi w:val="0"/>
              <w:spacing w:lineRule="atLeast" w:line="240"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1,223,490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499,994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lineRule="atLeast" w:line="240" w:before="0" w:after="283"/>
              <w:jc w:val="right"/>
              <w:rPr/>
            </w:pPr>
            <w:r>
              <w:rPr/>
              <w:t>​</w:t>
            </w:r>
          </w:p>
        </w:tc>
        <w:tc>
          <w:tcPr>
            <w:tcW w:w="1006" w:type="dxa"/>
            <w:tcBorders/>
            <w:shd w:fill="CBCBCB" w:val="clear"/>
            <w:tcMar>
              <w:bottom w:w="0" w:type="dxa"/>
            </w:tcMar>
            <w:vAlign w:val="center"/>
          </w:tcPr>
          <w:p>
            <w:pPr>
              <w:pStyle w:val="TableContents"/>
              <w:bidi w:val="0"/>
              <w:spacing w:lineRule="atLeast" w:line="240" w:before="0" w:after="283"/>
              <w:jc w:val="right"/>
              <w:rPr/>
            </w:pPr>
            <w:r>
              <w:rPr/>
              <w:t>267,543</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lineRule="atLeast" w:line="240" w:before="0" w:after="283"/>
              <w:jc w:val="right"/>
              <w:rPr/>
            </w:pPr>
            <w:r>
              <w:rPr/>
              <w:t>​</w:t>
            </w:r>
          </w:p>
        </w:tc>
        <w:tc>
          <w:tcPr>
            <w:tcW w:w="965" w:type="dxa"/>
            <w:tcBorders/>
            <w:shd w:fill="CBCBCB" w:val="clear"/>
            <w:tcMar>
              <w:bottom w:w="0" w:type="dxa"/>
            </w:tcMar>
            <w:vAlign w:val="center"/>
          </w:tcPr>
          <w:p>
            <w:pPr>
              <w:pStyle w:val="TableContents"/>
              <w:bidi w:val="0"/>
              <w:spacing w:lineRule="atLeast" w:line="240" w:before="0" w:after="283"/>
              <w:jc w:val="right"/>
              <w:rPr/>
            </w:pPr>
            <w:r>
              <w:rPr/>
              <w:t>8,240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2,388,884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218,017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479,984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135,574</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12,200</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845,775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9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206,000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364" w:type="dxa"/>
            <w:tcBorders/>
            <w:shd w:fill="CBCBCB" w:val="clear"/>
            <w:tcMar>
              <w:bottom w:w="0" w:type="dxa"/>
            </w:tcMar>
            <w:vAlign w:val="center"/>
          </w:tcPr>
          <w:p>
            <w:pPr>
              <w:pStyle w:val="TableContents"/>
              <w:bidi w:val="0"/>
              <w:spacing w:before="0" w:after="283"/>
              <w:jc w:val="right"/>
              <w:rPr/>
            </w:pPr>
            <w:r>
              <w:rPr/>
              <w:t>—</w:t>
            </w:r>
          </w:p>
        </w:tc>
        <w:tc>
          <w:tcPr>
            <w:tcW w:w="117"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479,983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left"/>
              <w:rPr/>
            </w:pPr>
            <w:r>
              <w:rPr/>
              <w:t>​</w:t>
            </w:r>
          </w:p>
        </w:tc>
        <w:tc>
          <w:tcPr>
            <w:tcW w:w="123" w:type="dxa"/>
            <w:tcBorders/>
            <w:shd w:fill="CBCBCB" w:val="clear"/>
            <w:tcMar>
              <w:bottom w:w="0" w:type="dxa"/>
            </w:tcMar>
            <w:vAlign w:val="center"/>
          </w:tcPr>
          <w:p>
            <w:pPr>
              <w:pStyle w:val="TableContents"/>
              <w:bidi w:val="0"/>
              <w:spacing w:before="0" w:after="283"/>
              <w:jc w:val="right"/>
              <w:rPr/>
            </w:pPr>
            <w:r>
              <w:rPr/>
              <w:t>​</w:t>
            </w:r>
          </w:p>
        </w:tc>
        <w:tc>
          <w:tcPr>
            <w:tcW w:w="1006" w:type="dxa"/>
            <w:tcBorders/>
            <w:shd w:fill="CBCBCB" w:val="clear"/>
            <w:tcMar>
              <w:bottom w:w="0" w:type="dxa"/>
            </w:tcMar>
            <w:vAlign w:val="center"/>
          </w:tcPr>
          <w:p>
            <w:pPr>
              <w:pStyle w:val="TableContents"/>
              <w:bidi w:val="0"/>
              <w:spacing w:before="0" w:after="283"/>
              <w:jc w:val="right"/>
              <w:rPr/>
            </w:pPr>
            <w:r>
              <w:rPr/>
              <w:t>780,246</w:t>
            </w:r>
          </w:p>
        </w:tc>
        <w:tc>
          <w:tcPr>
            <w:tcW w:w="12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left"/>
              <w:rPr/>
            </w:pPr>
            <w:r>
              <w:rPr/>
              <w:t>​</w:t>
            </w:r>
          </w:p>
        </w:tc>
        <w:tc>
          <w:tcPr>
            <w:tcW w:w="137" w:type="dxa"/>
            <w:tcBorders/>
            <w:shd w:fill="CBCBCB" w:val="clear"/>
            <w:tcMar>
              <w:bottom w:w="0" w:type="dxa"/>
            </w:tcMar>
            <w:vAlign w:val="center"/>
          </w:tcPr>
          <w:p>
            <w:pPr>
              <w:pStyle w:val="TableContents"/>
              <w:bidi w:val="0"/>
              <w:spacing w:before="0" w:after="283"/>
              <w:jc w:val="right"/>
              <w:rPr/>
            </w:pPr>
            <w:r>
              <w:rPr/>
              <w:t>​</w:t>
            </w:r>
          </w:p>
        </w:tc>
        <w:tc>
          <w:tcPr>
            <w:tcW w:w="965" w:type="dxa"/>
            <w:tcBorders/>
            <w:shd w:fill="CBCBCB" w:val="clear"/>
            <w:tcMar>
              <w:bottom w:w="0" w:type="dxa"/>
            </w:tcMar>
            <w:vAlign w:val="center"/>
          </w:tcPr>
          <w:p>
            <w:pPr>
              <w:pStyle w:val="TableContents"/>
              <w:bidi w:val="0"/>
              <w:spacing w:before="0" w:after="283"/>
              <w:jc w:val="right"/>
              <w:rPr/>
            </w:pPr>
            <w:r>
              <w:rPr/>
              <w:t>28,901</w:t>
            </w:r>
          </w:p>
        </w:tc>
        <w:tc>
          <w:tcPr>
            <w:tcW w:w="13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1,495,130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annual base salary paid for the fiscal year. </w:t>
      </w:r>
      <w:r>
        <mc:AlternateContent>
          <mc:Choice Requires="wps">
            <w:drawing>
              <wp:anchor behindDoc="0" distT="10033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awards were in the form of time-based restricted stock and performance-based restricted stock units. Amounts shown above are the aggregate grant date fair value of awards computed in accordance with FASB ASC Topic 718. The grant date fair value of performance-based restricted stock units granted in 2023 is estimated using the Monte Carlo simulation. The grant date fair value of performance-based restricted stock units granted in 2022 and 2021 was based on the quoted market value of the Company’s class A common stock on the grant date. For a discussion of the assumptions made in such valuation, see Note 2 to our audited financial statements for the fiscal year ended December 31, 2023, included in our 2023 Form 10-K. Assuming achievement of the highest level of performance under the performance-based restricted stock unit awards (200% of the target), the value of the 2023 time-based restricted stock and performance-based vested restricted unit awards, based on the closing price of our Class A common stock on the applicable grant dates, would be as follows: Mr. Morris, $9,749,992; Mr. Murphy, $2,378,992; Mr. Dempsey, $1,424,992; Mr. Guthrie, $1,649,994; and Mr. Moore $1,499,999. </w:t>
      </w:r>
      <w:r>
        <mc:AlternateContent>
          <mc:Choice Requires="wps">
            <w:drawing>
              <wp:anchor behindDoc="0" distT="4953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 awards were in the form of performance-based stock options. Amounts shown above are the aggregate grant date fair value of awards computed in accordance with FASB ASC Topic 718. For a discussion of the assumptions made in such valuation, see Note 2 to our audited financial statements for the fiscal year ended December 31, 2023, included in our 2023 Form 10-K.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annual performance-based cash incentives. For 2021, the following amounts of the 2021 AIP payments were paid in shares of common stock based on the closing price of our Class A common stock on the applicable grant date: Mr. Morris, $133,114; Mr. Murphy, $159,316; Mr. Dempsey, $131,239; and Mr. Moore, $77,246. These shares were fully vested at grant, but had a 12-month holding period. For Mr. Moore, 2021 amount also includes $600,000 in “deal bonuses” provided under his then applicable employment agreement.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3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GOP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matching contributions made by the Company to NEO’s 401(k) plan account.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54000" cy="350520"/>
                <wp:effectExtent l="0" t="0" r="0" b="0"/>
                <wp:wrapSquare wrapText="right"/>
                <wp:docPr id="14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grants of annual incentive awards to the NEO during the fiscal year ended December 31, 2023. The non-equity awards were made under program terms and performance objectives approved by the Compensation Committee for annual cash bonuses for the NEO under each of their respective employment agreements. The equity awards were made under the Amended and Restated Plan. </w:t>
      </w:r>
    </w:p>
    <w:tbl>
      <w:tblPr>
        <w:tblW w:w="16814" w:type="dxa"/>
        <w:jc w:val="left"/>
        <w:tblInd w:w="543" w:type="dxa"/>
        <w:tblLayout w:type="fixed"/>
        <w:tblCellMar>
          <w:top w:w="0" w:type="dxa"/>
          <w:left w:w="0" w:type="dxa"/>
          <w:bottom w:w="28" w:type="dxa"/>
          <w:right w:w="0" w:type="dxa"/>
        </w:tblCellMar>
      </w:tblPr>
      <w:tblGrid>
        <w:gridCol w:w="997"/>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09"/>
        <w:gridCol w:w="109"/>
        <w:gridCol w:w="886"/>
        <w:gridCol w:w="109"/>
        <w:gridCol w:w="109"/>
        <w:gridCol w:w="109"/>
        <w:gridCol w:w="114"/>
        <w:gridCol w:w="114"/>
        <w:gridCol w:w="551"/>
        <w:gridCol w:w="116"/>
        <w:gridCol w:w="109"/>
        <w:gridCol w:w="109"/>
        <w:gridCol w:w="1393"/>
        <w:gridCol w:w="154"/>
      </w:tblGrid>
      <w:tr>
        <w:trPr/>
        <w:tc>
          <w:tcPr>
            <w:tcW w:w="9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55" w:type="dxa"/>
            <w:gridSpan w:val="16"/>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Estimated Future Payouts Under </w:t>
              <w:br/>
              <w:t>Non-Equity Incentive Plan Award</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55" w:type="dxa"/>
            <w:gridSpan w:val="16"/>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Estimated Future Payouts Under </w:t>
              <w:br/>
              <w:t>Equity Incentive Plan Award</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All Other </w:t>
              <w:br/>
              <w:t xml:space="preserve">Stock </w:t>
              <w:br/>
              <w:t xml:space="preserve">Awards: </w:t>
              <w:br/>
              <w:t xml:space="preserve">Number </w:t>
              <w:br/>
              <w:t xml:space="preserve">of Shares </w:t>
              <w:br/>
              <w:t xml:space="preserve">of Stock </w:t>
              <w:br/>
              <w:t xml:space="preserve">or Units </w:t>
              <w:br/>
              <w:t>(#)</w:t>
            </w:r>
            <w:r>
              <w:rPr>
                <w:spacing w:val="-2"/>
                <w:sz w:val="10"/>
              </w:rPr>
              <w:t>(4)</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All Other </w:t>
              <w:br/>
              <w:t xml:space="preserve">Option </w:t>
              <w:br/>
              <w:t xml:space="preserve">Awards: </w:t>
              <w:br/>
              <w:t xml:space="preserve">Number of </w:t>
              <w:br/>
              <w:t xml:space="preserve">Securities </w:t>
              <w:br/>
              <w:t xml:space="preserve">Underlying </w:t>
              <w:br/>
              <w:t xml:space="preserve">Options </w:t>
              <w:br/>
              <w:t>(#)</w:t>
            </w:r>
            <w:r>
              <w:rPr>
                <w:spacing w:val="-2"/>
                <w:sz w:val="10"/>
              </w:rPr>
              <w:t>(5)</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895" w:type="dxa"/>
            <w:gridSpan w:val="4"/>
            <w:vMerge w:val="restart"/>
            <w:tcBorders>
              <w:bottom w:val="single" w:sz="2" w:space="0" w:color="000000"/>
            </w:tcBorders>
            <w:tcMar>
              <w:bottom w:w="53" w:type="dxa"/>
            </w:tcMar>
            <w:vAlign w:val="center"/>
          </w:tcPr>
          <w:p>
            <w:pPr>
              <w:pStyle w:val="TableContents"/>
              <w:bidi w:val="0"/>
              <w:spacing w:lineRule="atLeast" w:line="180" w:before="0" w:after="0"/>
              <w:jc w:val="center"/>
              <w:rPr>
                <w:spacing w:val="-3"/>
              </w:rPr>
            </w:pPr>
            <w:r>
              <w:rPr>
                <w:spacing w:val="-3"/>
              </w:rPr>
              <w:t xml:space="preserve">Exercise </w:t>
              <w:br/>
              <w:t xml:space="preserve">Price of </w:t>
              <w:br/>
              <w:t xml:space="preserve">Options </w:t>
              <w:br/>
              <w:t xml:space="preserve">Awards </w:t>
              <w:br/>
              <w:t xml:space="preserve">($/sh)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Grant </w:t>
              <w:br/>
              <w:t xml:space="preserve">Date Fair </w:t>
              <w:br/>
              <w:t xml:space="preserve">Value of </w:t>
              <w:br/>
              <w:t xml:space="preserve">Stock and </w:t>
              <w:br/>
              <w:t xml:space="preserve">Option </w:t>
              <w:br/>
              <w:t xml:space="preserve">Awards </w:t>
              <w:br/>
              <w:t>($)</w:t>
            </w:r>
            <w:r>
              <w:rPr>
                <w:spacing w:val="-2"/>
                <w:sz w:val="10"/>
              </w:rPr>
              <w:t>(6)</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997" w:type="dxa"/>
            <w:tcBorders>
              <w:bottom w:val="single" w:sz="2" w:space="0" w:color="000000"/>
            </w:tcBorders>
            <w:tcMar>
              <w:bottom w:w="53" w:type="dxa"/>
            </w:tcMar>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3"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213"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95"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997" w:type="dxa"/>
            <w:tcBorders/>
            <w:shd w:fill="CBCBCB" w:val="clear"/>
            <w:tcMar>
              <w:bottom w:w="0" w:type="dxa"/>
            </w:tcMar>
            <w:vAlign w:val="center"/>
          </w:tcPr>
          <w:p>
            <w:pPr>
              <w:pStyle w:val="TableContents"/>
              <w:bidi w:val="0"/>
              <w:spacing w:before="0" w:after="283"/>
              <w:jc w:val="left"/>
              <w:rPr/>
            </w:pPr>
            <w:r>
              <w:rPr>
                <w:spacing w:val="-4"/>
              </w:rPr>
              <w:t>John Morris</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PSU</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265,090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530,179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1,060,358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4,702,688</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RSA</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530,179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3,249,997</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AIP</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250,000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500,000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1,000,000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283"/>
              <w:jc w:val="left"/>
              <w:rPr/>
            </w:pPr>
            <w:r>
              <w:rPr>
                <w:spacing w:val="-4"/>
              </w:rPr>
              <w:t>Tim Murphy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PSU</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64,682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129,363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258,726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1,147,450</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RSA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129,364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793,001</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AIP</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149,063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298,125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596,250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PSO</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287,207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6.13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749,997 </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283"/>
              <w:jc w:val="left"/>
              <w:rPr/>
            </w:pPr>
            <w:r>
              <w:rPr>
                <w:spacing w:val="-4"/>
              </w:rPr>
              <w:t>Tyler Dempsey</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PSU</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38,744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 xml:space="preserve">77,487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 xml:space="preserve">154,974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687,310</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RSA</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77,488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475,001</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AIP</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95,813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191,625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383,250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PSO</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191,470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6.13</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499,994 </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283"/>
              <w:jc w:val="left"/>
              <w:rPr/>
            </w:pPr>
            <w:r>
              <w:rPr>
                <w:spacing w:val="-4"/>
              </w:rPr>
              <w:t>David Guthrie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PSU</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44,861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89,722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179,444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795,834</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RSA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89,723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550,002</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AIP</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tcMar>
              <w:bottom w:w="0" w:type="dxa"/>
            </w:tcMar>
            <w:vAlign w:val="center"/>
          </w:tcPr>
          <w:p>
            <w:pPr>
              <w:pStyle w:val="TableContents"/>
              <w:bidi w:val="0"/>
              <w:spacing w:before="0" w:after="0"/>
              <w:ind w:left="200" w:right="0" w:hanging="0"/>
              <w:jc w:val="left"/>
              <w:rPr>
                <w:b/>
              </w:rPr>
            </w:pPr>
            <w:r>
              <w:rPr>
                <w:b/>
                <w:spacing w:val="-4"/>
              </w:rPr>
              <w:t>PSO</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287,207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6.13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749,997 </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283"/>
              <w:jc w:val="left"/>
              <w:rPr/>
            </w:pPr>
            <w:r>
              <w:rPr>
                <w:spacing w:val="-4"/>
              </w:rPr>
              <w:t>Jacob H. Moore</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PSU</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40,783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81,566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163,132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723,490</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RSA</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81,566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500,000</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AIP</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135,000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270,000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540,000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997" w:type="dxa"/>
            <w:tcBorders/>
            <w:shd w:fill="CBCBCB" w:val="clear"/>
            <w:tcMar>
              <w:bottom w:w="0" w:type="dxa"/>
            </w:tcMar>
            <w:vAlign w:val="center"/>
          </w:tcPr>
          <w:p>
            <w:pPr>
              <w:pStyle w:val="TableContents"/>
              <w:bidi w:val="0"/>
              <w:spacing w:before="0" w:after="0"/>
              <w:ind w:left="200" w:right="0" w:hanging="0"/>
              <w:jc w:val="left"/>
              <w:rPr>
                <w:b/>
              </w:rPr>
            </w:pPr>
            <w:r>
              <w:rPr>
                <w:b/>
                <w:spacing w:val="-4"/>
              </w:rPr>
              <w:t>PSO</w:t>
            </w:r>
            <w:r>
              <w:rPr>
                <w:b/>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191,470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left"/>
              <w:rPr/>
            </w:pPr>
            <w:r>
              <w:rPr/>
              <w:t>​</w:t>
            </w:r>
          </w:p>
        </w:tc>
        <w:tc>
          <w:tcPr>
            <w:tcW w:w="114" w:type="dxa"/>
            <w:tcBorders/>
            <w:shd w:fill="CBCBCB" w:val="clear"/>
            <w:tcMar>
              <w:bottom w:w="0" w:type="dxa"/>
            </w:tcMar>
            <w:vAlign w:val="center"/>
          </w:tcPr>
          <w:p>
            <w:pPr>
              <w:pStyle w:val="TableContents"/>
              <w:bidi w:val="0"/>
              <w:spacing w:before="0" w:after="283"/>
              <w:jc w:val="right"/>
              <w:rPr/>
            </w:pPr>
            <w:r>
              <w:rPr/>
              <w:t>​</w:t>
            </w:r>
          </w:p>
        </w:tc>
        <w:tc>
          <w:tcPr>
            <w:tcW w:w="551" w:type="dxa"/>
            <w:tcBorders/>
            <w:shd w:fill="CBCBCB" w:val="clear"/>
            <w:tcMar>
              <w:bottom w:w="0" w:type="dxa"/>
            </w:tcMar>
            <w:vAlign w:val="center"/>
          </w:tcPr>
          <w:p>
            <w:pPr>
              <w:pStyle w:val="TableContents"/>
              <w:bidi w:val="0"/>
              <w:spacing w:before="0" w:after="283"/>
              <w:jc w:val="right"/>
              <w:rPr/>
            </w:pPr>
            <w:r>
              <w:rPr/>
              <w:t>6.13</w:t>
            </w:r>
          </w:p>
        </w:tc>
        <w:tc>
          <w:tcPr>
            <w:tcW w:w="116"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499,994</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AIP” refers to performance-based cash incentive awards under the 2023 AIP. “PSU” refers to performance-based restricted stock units awarded under the Amended and Restated Plan. “RSA” refers to time-based restricted stock awarded under Amended and Restated Plan. “PSO” refers to performance-based stock options awarded under Amended and Restated Plan. </w:t>
      </w:r>
      <w:r>
        <mc:AlternateContent>
          <mc:Choice Requires="wps">
            <w:drawing>
              <wp:anchor behindDoc="0" distT="8382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reflect the threshold, target and maximum annual cash incentive opportunities under our 2023 AIP approved by the Compensation Committee. </w:t>
      </w:r>
      <w:r>
        <mc:AlternateContent>
          <mc:Choice Requires="wps">
            <w:drawing>
              <wp:anchor behindDoc="0" distT="3302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NDTS"/>
      <w:bookmarkEnd w:id="18"/>
      <w:r>
        <w:rPr>
          <w:rFonts w:ascii="calibri;arial;sans-serif" w:hAnsi="calibri;arial;sans-serif"/>
          <w:b w:val="false"/>
          <w:i w:val="false"/>
          <w:caps w:val="false"/>
          <w:smallCaps w:val="false"/>
          <w:color w:val="000000"/>
          <w:sz w:val="16"/>
        </w:rPr>
        <w:t>​</w:t>
      </w:r>
      <w:bookmarkStart w:id="19" w:name="tOEA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grants of PSUs to each NEO during 2023. The PSUs are earned, if at all, based on our TSR performance after a three-year performance period relative to the TSR over the same performance period for the companies in the Russell 2000 Index. Additional information regarding the terms of the PSUs is set forth in the “Compensation Discussion and Analysis” above.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54000" cy="350520"/>
                <wp:effectExtent l="0" t="0" r="0" b="0"/>
                <wp:wrapSquare wrapText="right"/>
                <wp:docPr id="14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RSAs represent grants of RSAs to each NEO during 2023. These RSAs will generally vest in equal annual installments over a four-year period. Additional information regarding the terms of the RSAs is set forth in the “Compensation Discussion and Analysis” above. </w:t>
      </w:r>
      <w:r>
        <mc:AlternateContent>
          <mc:Choice Requires="wps">
            <w:drawing>
              <wp:anchor behindDoc="0" distT="508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one-time grants of PSOs to certain NEOs during 2023. These stock options will vest, if at all, based on achievement of certain share price targets as further described in the “Compensation Discussion and Analysis” above. </w:t>
      </w:r>
      <w:r>
        <mc:AlternateContent>
          <mc:Choice Requires="wps">
            <w:drawing>
              <wp:anchor behindDoc="0" distT="508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are the grant date fair value of each award computed in accordance with FASB ASC Topic 718. For a discussion of the assumptions made in such valuation, see Note 2 to our audited financial statements for the fiscal year ended December 31, 2023, included in our 2023 Form 10-K. </w:t>
      </w:r>
      <w:r>
        <mc:AlternateContent>
          <mc:Choice Requires="wps">
            <w:drawing>
              <wp:anchor behindDoc="0" distT="508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Disclosure to Summary Executive Compensation Table and Grants of Plan-Based Awards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concerning our executive compensation policies, see “Compensation Discussion and Analysis”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unexercised options; stock that has not vested; and equity incentive plan awards for each NEO outstanding as of the end of our last completed fiscal year. </w:t>
      </w:r>
    </w:p>
    <w:tbl>
      <w:tblPr>
        <w:tblW w:w="15321" w:type="dxa"/>
        <w:jc w:val="left"/>
        <w:tblInd w:w="543" w:type="dxa"/>
        <w:tblLayout w:type="fixed"/>
        <w:tblCellMar>
          <w:top w:w="0" w:type="dxa"/>
          <w:left w:w="0" w:type="dxa"/>
          <w:bottom w:w="28" w:type="dxa"/>
          <w:right w:w="0" w:type="dxa"/>
        </w:tblCellMar>
      </w:tblPr>
      <w:tblGrid>
        <w:gridCol w:w="956"/>
        <w:gridCol w:w="109"/>
        <w:gridCol w:w="109"/>
        <w:gridCol w:w="109"/>
        <w:gridCol w:w="109"/>
        <w:gridCol w:w="586"/>
        <w:gridCol w:w="109"/>
        <w:gridCol w:w="109"/>
        <w:gridCol w:w="109"/>
        <w:gridCol w:w="1201"/>
        <w:gridCol w:w="109"/>
        <w:gridCol w:w="109"/>
        <w:gridCol w:w="1390"/>
        <w:gridCol w:w="109"/>
        <w:gridCol w:w="109"/>
        <w:gridCol w:w="109"/>
        <w:gridCol w:w="109"/>
        <w:gridCol w:w="886"/>
        <w:gridCol w:w="109"/>
        <w:gridCol w:w="109"/>
        <w:gridCol w:w="109"/>
        <w:gridCol w:w="109"/>
        <w:gridCol w:w="109"/>
        <w:gridCol w:w="526"/>
        <w:gridCol w:w="109"/>
        <w:gridCol w:w="109"/>
        <w:gridCol w:w="109"/>
        <w:gridCol w:w="109"/>
        <w:gridCol w:w="109"/>
        <w:gridCol w:w="697"/>
        <w:gridCol w:w="109"/>
        <w:gridCol w:w="109"/>
        <w:gridCol w:w="109"/>
        <w:gridCol w:w="109"/>
        <w:gridCol w:w="109"/>
        <w:gridCol w:w="886"/>
        <w:gridCol w:w="109"/>
        <w:gridCol w:w="109"/>
        <w:gridCol w:w="109"/>
        <w:gridCol w:w="109"/>
        <w:gridCol w:w="109"/>
        <w:gridCol w:w="1066"/>
        <w:gridCol w:w="109"/>
        <w:gridCol w:w="109"/>
        <w:gridCol w:w="109"/>
        <w:gridCol w:w="109"/>
        <w:gridCol w:w="109"/>
        <w:gridCol w:w="1111"/>
        <w:gridCol w:w="109"/>
        <w:gridCol w:w="109"/>
        <w:gridCol w:w="109"/>
        <w:gridCol w:w="109"/>
        <w:gridCol w:w="109"/>
        <w:gridCol w:w="1066"/>
        <w:gridCol w:w="109"/>
        <w:gridCol w:w="154"/>
      </w:tblGrid>
      <w:tr>
        <w:trPr/>
        <w:tc>
          <w:tcPr>
            <w:tcW w:w="9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53" w:type="dxa"/>
            <w:gridSpan w:val="22"/>
            <w:tcBorders>
              <w:bottom w:val="single" w:sz="2" w:space="0" w:color="000000"/>
            </w:tcBorders>
            <w:tcMar>
              <w:bottom w:w="6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91" w:type="dxa"/>
            <w:gridSpan w:val="22"/>
            <w:tcBorders>
              <w:bottom w:val="single" w:sz="2" w:space="0" w:color="000000"/>
            </w:tcBorders>
            <w:tcMar>
              <w:bottom w:w="6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56" w:type="dxa"/>
            <w:tcBorders>
              <w:bottom w:val="single" w:sz="2" w:space="0" w:color="000000"/>
            </w:tcBorders>
            <w:tcMar>
              <w:bottom w:w="5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w:t>
              <w:br/>
              <w:t xml:space="preserve">(#) </w:t>
              <w:br/>
              <w:t>unexercisable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4"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Number </w:t>
              <w:br/>
              <w:t xml:space="preserve">of shares </w:t>
              <w:br/>
              <w:t xml:space="preserve">or units </w:t>
              <w:br/>
              <w:t xml:space="preserve">of stock </w:t>
              <w:br/>
              <w:t xml:space="preserve">that have </w:t>
              <w:br/>
              <w:t xml:space="preserve">not vested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Equity incentive </w:t>
              <w:br/>
              <w:t xml:space="preserve">plan awards: </w:t>
              <w:br/>
              <w:t xml:space="preserve">Market or </w:t>
              <w:br/>
              <w:t xml:space="preserve">payout value of </w:t>
              <w:br/>
              <w:t xml:space="preserve">unearned shares, </w:t>
              <w:br/>
              <w:t xml:space="preserve">units or other </w:t>
              <w:br/>
              <w:t xml:space="preserve">rights that have </w:t>
              <w:br/>
              <w:t xml:space="preserve">not vested </w:t>
              <w:br/>
              <w:t>($)</w:t>
            </w:r>
            <w:r>
              <w:rPr>
                <w:spacing w:val="-2"/>
                <w:sz w:val="10"/>
              </w:rPr>
              <w:t>(3)(4)</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56"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John Morris</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3/11/2020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2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697"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28,160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240,486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111"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51,992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444,012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123,282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1,052,828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530,179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4,527,729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51,992</w:t>
            </w:r>
            <w:r>
              <w:rPr>
                <w:sz w:val="13"/>
              </w:rPr>
              <w:t>(4)</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444,012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164,375</w:t>
            </w:r>
            <w:r>
              <w:rPr>
                <w:sz w:val="13"/>
              </w:rPr>
              <w:t>(5)</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1,403,763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111" w:type="dxa"/>
            <w:tcBorders/>
            <w:shd w:fill="CBCBCB" w:val="clear"/>
            <w:tcMar>
              <w:bottom w:w="0" w:type="dxa"/>
            </w:tcMar>
            <w:vAlign w:val="center"/>
          </w:tcPr>
          <w:p>
            <w:pPr>
              <w:pStyle w:val="TableContents"/>
              <w:bidi w:val="0"/>
              <w:spacing w:before="0" w:after="283"/>
              <w:jc w:val="right"/>
              <w:rPr/>
            </w:pPr>
            <w:r>
              <w:rPr/>
              <w:t>1,060,358</w:t>
            </w:r>
            <w:r>
              <w:rPr>
                <w:sz w:val="13"/>
              </w:rPr>
              <w:t>(6)</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9,055,457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restart"/>
            <w:tcBorders/>
            <w:tcMar>
              <w:bottom w:w="0" w:type="dxa"/>
            </w:tcMar>
            <w:vAlign w:val="center"/>
          </w:tcPr>
          <w:p>
            <w:pPr>
              <w:pStyle w:val="TableContents"/>
              <w:bidi w:val="0"/>
              <w:spacing w:lineRule="atLeast" w:line="240" w:before="0" w:after="0"/>
              <w:jc w:val="left"/>
              <w:rPr>
                <w:b/>
              </w:rPr>
            </w:pPr>
            <w:r>
              <w:rPr>
                <w:b/>
                <w:spacing w:val="-4"/>
              </w:rPr>
              <w:t>Tim Murphy</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3/11/2020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2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97"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9,091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77,637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1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2/24/2021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148,656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2/23/2022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303,597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129,364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1,104,769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2/24/2021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17,407</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148,656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2/23/2022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47,399</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404,787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258,726</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2,209,520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287,207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3/18/2030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912" w:type="dxa"/>
        <w:jc w:val="left"/>
        <w:tblInd w:w="543" w:type="dxa"/>
        <w:tblLayout w:type="fixed"/>
        <w:tblCellMar>
          <w:top w:w="0" w:type="dxa"/>
          <w:left w:w="0" w:type="dxa"/>
          <w:bottom w:w="28" w:type="dxa"/>
          <w:right w:w="0" w:type="dxa"/>
        </w:tblCellMar>
      </w:tblPr>
      <w:tblGrid>
        <w:gridCol w:w="1027"/>
        <w:gridCol w:w="109"/>
        <w:gridCol w:w="109"/>
        <w:gridCol w:w="109"/>
        <w:gridCol w:w="109"/>
        <w:gridCol w:w="586"/>
        <w:gridCol w:w="109"/>
        <w:gridCol w:w="109"/>
        <w:gridCol w:w="109"/>
        <w:gridCol w:w="1201"/>
        <w:gridCol w:w="109"/>
        <w:gridCol w:w="109"/>
        <w:gridCol w:w="1390"/>
        <w:gridCol w:w="109"/>
        <w:gridCol w:w="109"/>
        <w:gridCol w:w="109"/>
        <w:gridCol w:w="109"/>
        <w:gridCol w:w="886"/>
        <w:gridCol w:w="109"/>
        <w:gridCol w:w="109"/>
        <w:gridCol w:w="109"/>
        <w:gridCol w:w="109"/>
        <w:gridCol w:w="109"/>
        <w:gridCol w:w="526"/>
        <w:gridCol w:w="109"/>
        <w:gridCol w:w="109"/>
        <w:gridCol w:w="109"/>
        <w:gridCol w:w="109"/>
        <w:gridCol w:w="109"/>
        <w:gridCol w:w="697"/>
        <w:gridCol w:w="109"/>
        <w:gridCol w:w="109"/>
        <w:gridCol w:w="109"/>
        <w:gridCol w:w="109"/>
        <w:gridCol w:w="109"/>
        <w:gridCol w:w="766"/>
        <w:gridCol w:w="109"/>
        <w:gridCol w:w="109"/>
        <w:gridCol w:w="109"/>
        <w:gridCol w:w="109"/>
        <w:gridCol w:w="109"/>
        <w:gridCol w:w="886"/>
        <w:gridCol w:w="109"/>
        <w:gridCol w:w="109"/>
        <w:gridCol w:w="109"/>
        <w:gridCol w:w="109"/>
        <w:gridCol w:w="109"/>
        <w:gridCol w:w="931"/>
        <w:gridCol w:w="109"/>
        <w:gridCol w:w="109"/>
        <w:gridCol w:w="109"/>
        <w:gridCol w:w="109"/>
        <w:gridCol w:w="109"/>
        <w:gridCol w:w="1066"/>
        <w:gridCol w:w="109"/>
        <w:gridCol w:w="154"/>
      </w:tblGrid>
      <w:tr>
        <w:trPr/>
        <w:tc>
          <w:tcPr>
            <w:tcW w:w="1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53" w:type="dxa"/>
            <w:gridSpan w:val="22"/>
            <w:tcBorders>
              <w:bottom w:val="single" w:sz="2" w:space="0" w:color="000000"/>
            </w:tcBorders>
            <w:tcMar>
              <w:bottom w:w="6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11" w:type="dxa"/>
            <w:gridSpan w:val="22"/>
            <w:tcBorders>
              <w:bottom w:val="single" w:sz="2" w:space="0" w:color="000000"/>
            </w:tcBorders>
            <w:tcMar>
              <w:bottom w:w="6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27" w:type="dxa"/>
            <w:tcBorders>
              <w:bottom w:val="single" w:sz="2" w:space="0" w:color="000000"/>
            </w:tcBorders>
            <w:tcMar>
              <w:bottom w:w="5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w:t>
              <w:br/>
              <w:t xml:space="preserve">(#) </w:t>
              <w:br/>
              <w:t>unexercisable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4"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Number </w:t>
              <w:br/>
              <w:t xml:space="preserve">of shares </w:t>
              <w:br/>
              <w:t xml:space="preserve">or units </w:t>
              <w:br/>
              <w:t xml:space="preserve">of stock </w:t>
              <w:br/>
              <w:t xml:space="preserve">that have </w:t>
              <w:br/>
              <w:t xml:space="preserve">not vested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Equity incentive </w:t>
              <w:br/>
              <w:t xml:space="preserve">plan awards: </w:t>
              <w:br/>
              <w:t xml:space="preserve">Market or </w:t>
              <w:br/>
              <w:t xml:space="preserve">payout value of </w:t>
              <w:br/>
              <w:t xml:space="preserve">unearned shares, </w:t>
              <w:br/>
              <w:t xml:space="preserve">units or other </w:t>
              <w:br/>
              <w:t xml:space="preserve">rights that have </w:t>
              <w:br/>
              <w:t xml:space="preserve">not vested </w:t>
              <w:br/>
              <w:t>($)</w:t>
            </w:r>
            <w:r>
              <w:rPr>
                <w:spacing w:val="-2"/>
                <w:sz w:val="10"/>
              </w:rPr>
              <w:t>(3)(4)</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27"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Tyler Dempsey</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3/11/2020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2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697"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766" w:type="dxa"/>
            <w:tcBorders/>
            <w:shd w:fill="CBCBCB" w:val="clear"/>
            <w:tcMar>
              <w:bottom w:w="0" w:type="dxa"/>
            </w:tcMar>
            <w:vAlign w:val="center"/>
          </w:tcPr>
          <w:p>
            <w:pPr>
              <w:pStyle w:val="TableContents"/>
              <w:bidi w:val="0"/>
              <w:spacing w:lineRule="atLeast" w:line="240" w:before="0" w:after="283"/>
              <w:jc w:val="right"/>
              <w:rPr/>
            </w:pPr>
            <w:r>
              <w:rPr/>
              <w:t>6,086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51,974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931"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9,249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78,986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19,277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164,626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77,488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661,748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9,249</w:t>
            </w:r>
            <w:r>
              <w:rPr>
                <w:sz w:val="13"/>
              </w:rPr>
              <w:t>(4)</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78,986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25,702</w:t>
            </w:r>
            <w:r>
              <w:rPr>
                <w:sz w:val="13"/>
              </w:rPr>
              <w:t>(5)</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219,495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154,974</w:t>
            </w:r>
            <w:r>
              <w:rPr>
                <w:sz w:val="13"/>
              </w:rPr>
              <w:t>(6)</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1,323,478</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191,470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6.13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3/18/2030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restart"/>
            <w:tcBorders/>
            <w:tcMar>
              <w:bottom w:w="0" w:type="dxa"/>
            </w:tcMar>
            <w:vAlign w:val="center"/>
          </w:tcPr>
          <w:p>
            <w:pPr>
              <w:pStyle w:val="TableContents"/>
              <w:bidi w:val="0"/>
              <w:spacing w:lineRule="atLeast" w:line="240" w:before="0" w:after="0"/>
              <w:jc w:val="left"/>
              <w:rPr>
                <w:b/>
              </w:rPr>
            </w:pPr>
            <w:r>
              <w:rPr>
                <w:b/>
                <w:spacing w:val="-4"/>
              </w:rPr>
              <w:t>David Guthrie</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2/23/2022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2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97"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18,160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155,086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3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766,234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2/23/2022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24,213</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206,779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179,444</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1,532,452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3/19/2023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287,207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7" w:type="dxa"/>
            <w:tcBorders/>
            <w:tcMar>
              <w:bottom w:w="0" w:type="dxa"/>
            </w:tcMar>
            <w:vAlign w:val="center"/>
          </w:tcPr>
          <w:p>
            <w:pPr>
              <w:pStyle w:val="TableContents"/>
              <w:bidi w:val="0"/>
              <w:spacing w:before="0" w:after="283"/>
              <w:jc w:val="right"/>
              <w:rPr/>
            </w:pPr>
            <w:r>
              <w:rPr/>
              <w:t>3/18/2030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Jacob H. Moore</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86" w:type="dxa"/>
            <w:tcBorders/>
            <w:shd w:fill="CBCBCB" w:val="clear"/>
            <w:tcMar>
              <w:bottom w:w="0" w:type="dxa"/>
            </w:tcMar>
            <w:vAlign w:val="center"/>
          </w:tcPr>
          <w:p>
            <w:pPr>
              <w:pStyle w:val="TableContents"/>
              <w:bidi w:val="0"/>
              <w:spacing w:lineRule="atLeast" w:line="240" w:before="0" w:after="283"/>
              <w:jc w:val="right"/>
              <w:rPr/>
            </w:pPr>
            <w:r>
              <w:rPr/>
              <w:t>3/11/2020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52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697"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766" w:type="dxa"/>
            <w:tcBorders/>
            <w:shd w:fill="CBCBCB" w:val="clear"/>
            <w:tcMar>
              <w:bottom w:w="0" w:type="dxa"/>
            </w:tcMar>
            <w:vAlign w:val="center"/>
          </w:tcPr>
          <w:p>
            <w:pPr>
              <w:pStyle w:val="TableContents"/>
              <w:bidi w:val="0"/>
              <w:spacing w:lineRule="atLeast" w:line="240" w:before="0" w:after="283"/>
              <w:jc w:val="right"/>
              <w:rPr/>
            </w:pPr>
            <w:r>
              <w:rPr/>
              <w:t>2,487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886" w:type="dxa"/>
            <w:tcBorders/>
            <w:shd w:fill="CBCBCB" w:val="clear"/>
            <w:tcMar>
              <w:bottom w:w="0" w:type="dxa"/>
            </w:tcMar>
            <w:vAlign w:val="center"/>
          </w:tcPr>
          <w:p>
            <w:pPr>
              <w:pStyle w:val="TableContents"/>
              <w:bidi w:val="0"/>
              <w:spacing w:lineRule="atLeast" w:line="240" w:before="0" w:after="283"/>
              <w:jc w:val="right"/>
              <w:rPr/>
            </w:pPr>
            <w:r>
              <w:rPr/>
              <w:t>21,239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931"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5,254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44,869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10,759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91,882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81,566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696,574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2/24/2021</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5,254</w:t>
            </w:r>
            <w:r>
              <w:rPr>
                <w:sz w:val="13"/>
              </w:rPr>
              <w:t>(4)</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44,865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2/23/2022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14,345</w:t>
            </w:r>
            <w:r>
              <w:rPr>
                <w:sz w:val="13"/>
              </w:rPr>
              <w:t>(5)</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122,506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163,132</w:t>
            </w:r>
            <w:r>
              <w:rPr>
                <w:sz w:val="13"/>
              </w:rPr>
              <w:t>(6)</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1,393,147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86" w:type="dxa"/>
            <w:tcBorders/>
            <w:shd w:fill="CBCBCB" w:val="clear"/>
            <w:tcMar>
              <w:bottom w:w="0" w:type="dxa"/>
            </w:tcMar>
            <w:vAlign w:val="center"/>
          </w:tcPr>
          <w:p>
            <w:pPr>
              <w:pStyle w:val="TableContents"/>
              <w:bidi w:val="0"/>
              <w:spacing w:before="0" w:after="283"/>
              <w:jc w:val="right"/>
              <w:rPr/>
            </w:pPr>
            <w:r>
              <w:rPr/>
              <w:t>3/19/2023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201"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390"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191,470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526" w:type="dxa"/>
            <w:tcBorders/>
            <w:shd w:fill="CBCBCB" w:val="clear"/>
            <w:tcMar>
              <w:bottom w:w="0" w:type="dxa"/>
            </w:tcMar>
            <w:vAlign w:val="center"/>
          </w:tcPr>
          <w:p>
            <w:pPr>
              <w:pStyle w:val="TableContents"/>
              <w:bidi w:val="0"/>
              <w:spacing w:before="0" w:after="283"/>
              <w:jc w:val="right"/>
              <w:rPr/>
            </w:pPr>
            <w:r>
              <w:rPr/>
              <w:t>6.13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697" w:type="dxa"/>
            <w:tcBorders/>
            <w:shd w:fill="CBCBCB" w:val="clear"/>
            <w:tcMar>
              <w:bottom w:w="0" w:type="dxa"/>
            </w:tcMar>
            <w:vAlign w:val="center"/>
          </w:tcPr>
          <w:p>
            <w:pPr>
              <w:pStyle w:val="TableContents"/>
              <w:bidi w:val="0"/>
              <w:spacing w:before="0" w:after="283"/>
              <w:jc w:val="right"/>
              <w:rPr/>
            </w:pPr>
            <w:r>
              <w:rPr/>
              <w:t>3/18/2030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7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88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931"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represent performance-based stock options granted in 2023. The stock options vest and become exercisable in three separate tranches as follows: (a) 31% shall vest and become exercisable on the later of (i) March 19, 2024 and (ii) the date on which the closing price per share of Class A common stock has equaled or exceeded $10.00 for any consecutive 20 day trading period ending on or prior to March 18, 2028; (b) 32% shall vest and become exercisable on the later of (i) March 19, 2025 and (ii) the date on which the closing price per share of Class A common stock has equaled or exceeded $14.50 for any consecutive 20 day trading period ending on or prior to March 18, 2028; and (c) 37% shall vest and become exercisable on the later of (i) March 19, 2026 and (ii) the date on which the closing price per share of Class A common stock has equaled or exceeded $19.54 for any consecutive 20 day trading period ending on or prior to March 18, 2028. Additional information regarding the terms of the RSAs is set forth in the “Compensation Discussion and Analysis” above. </w:t>
      </w:r>
      <w:r>
        <mc:AlternateContent>
          <mc:Choice Requires="wps">
            <w:drawing>
              <wp:anchor behindDoc="0" distT="9144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represent time-based RSAs of our Class A common Stock. The RSAs vest in equal annual installments over a four-year period on the anniversary of the grant date. Additional information regarding the terms of the RSAs is set forth in the “Compensation Discussion and Analysis” above. </w:t>
      </w:r>
      <w:r>
        <mc:AlternateContent>
          <mc:Choice Requires="wps">
            <w:drawing>
              <wp:anchor behindDoc="0" distT="3937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price of our Class A common stock ($8.54) on December 29, 2023. </w:t>
      </w:r>
      <w:r>
        <mc:AlternateContent>
          <mc:Choice Requires="wps">
            <w:drawing>
              <wp:anchor behindDoc="0" distT="3937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4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EAS"/>
      <w:bookmarkEnd w:id="20"/>
      <w:r>
        <w:rPr>
          <w:rFonts w:ascii="calibri;arial;sans-serif" w:hAnsi="calibri;arial;sans-serif"/>
          <w:b w:val="false"/>
          <w:i w:val="false"/>
          <w:caps w:val="false"/>
          <w:smallCaps w:val="false"/>
          <w:color w:val="000000"/>
          <w:sz w:val="16"/>
        </w:rPr>
        <w:t>​</w:t>
      </w:r>
      <w:bookmarkStart w:id="21" w:name="tPPUT"/>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represent PSUs granted in 2021. The PSUs are earned, if at all, based on our TSR performance after a three-year performance period ending December 31, 2023 relative to the TSR over the same performance period for the companies in the Russell 2000 Index. Additional information regarding the terms of the PSUs is set forth in the “Compensation Discussion and Analysis” above. The number of PSUs in this table is based on assumed achievement at the “threshold” level payout of 50%. However, on February 9, 2024, the Compensation Committee determined that the TSR performance thresholds were not met and all 2021 PSUs were forfeited.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54000" cy="350520"/>
                <wp:effectExtent l="0" t="0" r="0" b="0"/>
                <wp:wrapSquare wrapText="right"/>
                <wp:docPr id="15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represent PSUs granted in 2022. The PSUs are earned, if at all, based on our TSR performance after a three-year performance period ending December 31, 2024 relative to the TSR over the same performance period for the companies in the Russell 2000 Index. Additional information regarding the terms of the PSUs is set forth in the “Compensation Discussion and Analysis” above. The number of PSUs in this table is based on assumed achievement at the “target” level payout of 100%. </w:t>
      </w:r>
      <w:r>
        <mc:AlternateContent>
          <mc:Choice Requires="wps">
            <w:drawing>
              <wp:anchor behindDoc="0" distT="5461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represent PSUs granted in 2023. The PSUs are earned, if at all, based on our TSR performance after a three-year performance period ending December 31, 2025 relative to the TSR over the same performance period for the companies in the Russell 2000 Index. Additional information regarding the terms of the PSUs is set forth in the “Compensation Discussion and Analysis” above. The number of PSUs in this table is based on assumed achievement at the “maximum” level payout of 200%. </w:t>
      </w:r>
      <w:r>
        <mc:AlternateContent>
          <mc:Choice Requires="wps">
            <w:drawing>
              <wp:anchor behindDoc="0" distT="5461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exercise of all stock options and vesting of all stock awards on an aggregated basis for each NEO during the fiscal year ended December 31, 2023. </w:t>
      </w:r>
    </w:p>
    <w:tbl>
      <w:tblPr>
        <w:tblW w:w="6845" w:type="dxa"/>
        <w:jc w:val="left"/>
        <w:tblInd w:w="1393" w:type="dxa"/>
        <w:tblLayout w:type="fixed"/>
        <w:tblCellMar>
          <w:top w:w="0" w:type="dxa"/>
          <w:left w:w="0" w:type="dxa"/>
          <w:bottom w:w="28" w:type="dxa"/>
          <w:right w:w="0" w:type="dxa"/>
        </w:tblCellMar>
      </w:tblPr>
      <w:tblGrid>
        <w:gridCol w:w="124"/>
        <w:gridCol w:w="1765"/>
        <w:gridCol w:w="109"/>
        <w:gridCol w:w="109"/>
        <w:gridCol w:w="249"/>
        <w:gridCol w:w="249"/>
        <w:gridCol w:w="2032"/>
        <w:gridCol w:w="249"/>
        <w:gridCol w:w="109"/>
        <w:gridCol w:w="109"/>
        <w:gridCol w:w="124"/>
        <w:gridCol w:w="124"/>
        <w:gridCol w:w="1215"/>
        <w:gridCol w:w="124"/>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765"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4584" w:type="dxa"/>
            <w:gridSpan w:val="10"/>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765"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779"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Number of Shares Acquired </w:t>
              <w:br/>
              <w:t xml:space="preserve">on Vesting </w:t>
              <w:b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7"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Value Realized </w:t>
              <w:br/>
              <w:t xml:space="preserve">on Vesting </w:t>
              <w:br/>
              <w:t>($)</w:t>
            </w:r>
            <w:r>
              <w:rPr>
                <w:spacing w:val="-2"/>
                <w:sz w:val="10"/>
              </w:rPr>
              <w:t>(1)</w:t>
            </w:r>
            <w:r>
              <w:rPr/>
              <w:t xml:space="preserve">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765" w:type="dxa"/>
            <w:tcBorders/>
            <w:shd w:fill="CCCCCC" w:val="clear"/>
            <w:tcMar>
              <w:bottom w:w="0" w:type="dxa"/>
            </w:tcMar>
            <w:vAlign w:val="center"/>
          </w:tcPr>
          <w:p>
            <w:pPr>
              <w:pStyle w:val="TableContents"/>
              <w:bidi w:val="0"/>
              <w:spacing w:before="0" w:after="0"/>
              <w:jc w:val="left"/>
              <w:rPr>
                <w:b/>
              </w:rPr>
            </w:pPr>
            <w:r>
              <w:rPr>
                <w:b/>
                <w:spacing w:val="-4"/>
              </w:rPr>
              <w:t>John Morris</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right"/>
              <w:rPr/>
            </w:pPr>
            <w:r>
              <w:rPr/>
              <w:t>​</w:t>
            </w:r>
          </w:p>
        </w:tc>
        <w:tc>
          <w:tcPr>
            <w:tcW w:w="2032" w:type="dxa"/>
            <w:tcBorders/>
            <w:shd w:fill="CCCCCC" w:val="clear"/>
            <w:tcMar>
              <w:bottom w:w="0" w:type="dxa"/>
            </w:tcMar>
            <w:vAlign w:val="center"/>
          </w:tcPr>
          <w:p>
            <w:pPr>
              <w:pStyle w:val="TableContents"/>
              <w:bidi w:val="0"/>
              <w:spacing w:before="0" w:after="283"/>
              <w:jc w:val="right"/>
              <w:rPr/>
            </w:pPr>
            <w:r>
              <w:rPr/>
              <w:t>148,673</w:t>
            </w:r>
          </w:p>
        </w:tc>
        <w:tc>
          <w:tcPr>
            <w:tcW w:w="24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right"/>
              <w:rPr/>
            </w:pPr>
            <w:r>
              <w:rPr/>
              <w:t>​</w:t>
            </w:r>
          </w:p>
        </w:tc>
        <w:tc>
          <w:tcPr>
            <w:tcW w:w="1215" w:type="dxa"/>
            <w:tcBorders/>
            <w:shd w:fill="CCCCCC" w:val="clear"/>
            <w:tcMar>
              <w:bottom w:w="0" w:type="dxa"/>
            </w:tcMar>
            <w:vAlign w:val="center"/>
          </w:tcPr>
          <w:p>
            <w:pPr>
              <w:pStyle w:val="TableContents"/>
              <w:bidi w:val="0"/>
              <w:spacing w:before="0" w:after="283"/>
              <w:jc w:val="right"/>
              <w:rPr/>
            </w:pPr>
            <w:r>
              <w:rPr/>
              <w:t>1,182,814</w:t>
            </w:r>
          </w:p>
        </w:tc>
        <w:tc>
          <w:tcPr>
            <w:tcW w:w="12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0"/>
              <w:jc w:val="left"/>
              <w:rPr>
                <w:b/>
              </w:rPr>
            </w:pPr>
            <w:r>
              <w:rPr>
                <w:b/>
                <w:spacing w:val="-4"/>
              </w:rPr>
              <w:t>Tim Murphy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2032" w:type="dxa"/>
            <w:tcBorders/>
            <w:tcMar>
              <w:bottom w:w="0" w:type="dxa"/>
            </w:tcMar>
            <w:vAlign w:val="center"/>
          </w:tcPr>
          <w:p>
            <w:pPr>
              <w:pStyle w:val="TableContents"/>
              <w:bidi w:val="0"/>
              <w:spacing w:before="0" w:after="283"/>
              <w:jc w:val="right"/>
              <w:rPr/>
            </w:pPr>
            <w:r>
              <w:rPr/>
              <w:t>61,699</w:t>
            </w:r>
          </w:p>
        </w:tc>
        <w:tc>
          <w:tcPr>
            <w:tcW w:w="2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484,495</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765" w:type="dxa"/>
            <w:tcBorders/>
            <w:shd w:fill="CCCCCC" w:val="clear"/>
            <w:tcMar>
              <w:bottom w:w="0" w:type="dxa"/>
            </w:tcMar>
            <w:vAlign w:val="center"/>
          </w:tcPr>
          <w:p>
            <w:pPr>
              <w:pStyle w:val="TableContents"/>
              <w:bidi w:val="0"/>
              <w:spacing w:before="0" w:after="0"/>
              <w:jc w:val="left"/>
              <w:rPr>
                <w:b/>
              </w:rPr>
            </w:pPr>
            <w:r>
              <w:rPr>
                <w:b/>
                <w:spacing w:val="-4"/>
              </w:rPr>
              <w:t>Tyler Dempsey</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right"/>
              <w:rPr/>
            </w:pPr>
            <w:r>
              <w:rPr/>
              <w:t>​</w:t>
            </w:r>
          </w:p>
        </w:tc>
        <w:tc>
          <w:tcPr>
            <w:tcW w:w="2032" w:type="dxa"/>
            <w:tcBorders/>
            <w:shd w:fill="CCCCCC" w:val="clear"/>
            <w:tcMar>
              <w:bottom w:w="0" w:type="dxa"/>
            </w:tcMar>
            <w:vAlign w:val="center"/>
          </w:tcPr>
          <w:p>
            <w:pPr>
              <w:pStyle w:val="TableContents"/>
              <w:bidi w:val="0"/>
              <w:spacing w:before="0" w:after="283"/>
              <w:jc w:val="right"/>
              <w:rPr/>
            </w:pPr>
            <w:r>
              <w:rPr/>
              <w:t>41,176</w:t>
            </w:r>
          </w:p>
        </w:tc>
        <w:tc>
          <w:tcPr>
            <w:tcW w:w="24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right"/>
              <w:rPr/>
            </w:pPr>
            <w:r>
              <w:rPr/>
              <w:t>​</w:t>
            </w:r>
          </w:p>
        </w:tc>
        <w:tc>
          <w:tcPr>
            <w:tcW w:w="1215" w:type="dxa"/>
            <w:tcBorders/>
            <w:shd w:fill="CCCCCC" w:val="clear"/>
            <w:tcMar>
              <w:bottom w:w="0" w:type="dxa"/>
            </w:tcMar>
            <w:vAlign w:val="center"/>
          </w:tcPr>
          <w:p>
            <w:pPr>
              <w:pStyle w:val="TableContents"/>
              <w:bidi w:val="0"/>
              <w:spacing w:before="0" w:after="283"/>
              <w:jc w:val="right"/>
              <w:rPr/>
            </w:pPr>
            <w:r>
              <w:rPr/>
              <w:t>327,723</w:t>
            </w:r>
          </w:p>
        </w:tc>
        <w:tc>
          <w:tcPr>
            <w:tcW w:w="12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0"/>
              <w:jc w:val="left"/>
              <w:rPr>
                <w:b/>
              </w:rPr>
            </w:pPr>
            <w:r>
              <w:rPr>
                <w:b/>
                <w:spacing w:val="-4"/>
              </w:rPr>
              <w:t>David Guthrie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2032" w:type="dxa"/>
            <w:tcBorders/>
            <w:tcMar>
              <w:bottom w:w="0" w:type="dxa"/>
            </w:tcMar>
            <w:vAlign w:val="center"/>
          </w:tcPr>
          <w:p>
            <w:pPr>
              <w:pStyle w:val="TableContents"/>
              <w:bidi w:val="0"/>
              <w:spacing w:before="0" w:after="283"/>
              <w:jc w:val="right"/>
              <w:rPr/>
            </w:pPr>
            <w:r>
              <w:rPr/>
              <w:t>6,053</w:t>
            </w:r>
          </w:p>
        </w:tc>
        <w:tc>
          <w:tcPr>
            <w:tcW w:w="2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5" w:type="dxa"/>
            <w:tcBorders/>
            <w:tcMar>
              <w:bottom w:w="0" w:type="dxa"/>
            </w:tcMar>
            <w:vAlign w:val="center"/>
          </w:tcPr>
          <w:p>
            <w:pPr>
              <w:pStyle w:val="TableContents"/>
              <w:bidi w:val="0"/>
              <w:spacing w:before="0" w:after="283"/>
              <w:jc w:val="right"/>
              <w:rPr/>
            </w:pPr>
            <w:r>
              <w:rPr/>
              <w:t>52,903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765" w:type="dxa"/>
            <w:tcBorders/>
            <w:shd w:fill="CCCCCC" w:val="clear"/>
            <w:tcMar>
              <w:bottom w:w="0" w:type="dxa"/>
            </w:tcMar>
            <w:vAlign w:val="center"/>
          </w:tcPr>
          <w:p>
            <w:pPr>
              <w:pStyle w:val="TableContents"/>
              <w:bidi w:val="0"/>
              <w:spacing w:before="0" w:after="0"/>
              <w:jc w:val="left"/>
              <w:rPr>
                <w:b/>
              </w:rPr>
            </w:pPr>
            <w:r>
              <w:rPr>
                <w:b/>
                <w:spacing w:val="-4"/>
              </w:rPr>
              <w:t>Jacob H. Moore</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left"/>
              <w:rPr/>
            </w:pPr>
            <w:r>
              <w:rPr/>
              <w:t>​</w:t>
            </w:r>
          </w:p>
        </w:tc>
        <w:tc>
          <w:tcPr>
            <w:tcW w:w="249" w:type="dxa"/>
            <w:tcBorders/>
            <w:shd w:fill="CCCCCC" w:val="clear"/>
            <w:tcMar>
              <w:bottom w:w="0" w:type="dxa"/>
            </w:tcMar>
            <w:vAlign w:val="center"/>
          </w:tcPr>
          <w:p>
            <w:pPr>
              <w:pStyle w:val="TableContents"/>
              <w:bidi w:val="0"/>
              <w:spacing w:before="0" w:after="283"/>
              <w:jc w:val="right"/>
              <w:rPr/>
            </w:pPr>
            <w:r>
              <w:rPr/>
              <w:t>​</w:t>
            </w:r>
          </w:p>
        </w:tc>
        <w:tc>
          <w:tcPr>
            <w:tcW w:w="2032" w:type="dxa"/>
            <w:tcBorders/>
            <w:shd w:fill="CCCCCC" w:val="clear"/>
            <w:tcMar>
              <w:bottom w:w="0" w:type="dxa"/>
            </w:tcMar>
            <w:vAlign w:val="center"/>
          </w:tcPr>
          <w:p>
            <w:pPr>
              <w:pStyle w:val="TableContents"/>
              <w:bidi w:val="0"/>
              <w:spacing w:before="0" w:after="283"/>
              <w:jc w:val="right"/>
              <w:rPr/>
            </w:pPr>
            <w:r>
              <w:rPr/>
              <w:t>30,070</w:t>
            </w:r>
          </w:p>
        </w:tc>
        <w:tc>
          <w:tcPr>
            <w:tcW w:w="24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left"/>
              <w:rPr/>
            </w:pPr>
            <w:r>
              <w:rPr/>
              <w:t>​</w:t>
            </w:r>
          </w:p>
        </w:tc>
        <w:tc>
          <w:tcPr>
            <w:tcW w:w="124" w:type="dxa"/>
            <w:tcBorders/>
            <w:shd w:fill="CCCCCC" w:val="clear"/>
            <w:tcMar>
              <w:bottom w:w="0" w:type="dxa"/>
            </w:tcMar>
            <w:vAlign w:val="center"/>
          </w:tcPr>
          <w:p>
            <w:pPr>
              <w:pStyle w:val="TableContents"/>
              <w:bidi w:val="0"/>
              <w:spacing w:before="0" w:after="283"/>
              <w:jc w:val="right"/>
              <w:rPr/>
            </w:pPr>
            <w:r>
              <w:rPr/>
              <w:t>​</w:t>
            </w:r>
          </w:p>
        </w:tc>
        <w:tc>
          <w:tcPr>
            <w:tcW w:w="1215" w:type="dxa"/>
            <w:tcBorders/>
            <w:shd w:fill="CCCCCC" w:val="clear"/>
            <w:tcMar>
              <w:bottom w:w="0" w:type="dxa"/>
            </w:tcMar>
            <w:vAlign w:val="center"/>
          </w:tcPr>
          <w:p>
            <w:pPr>
              <w:pStyle w:val="TableContents"/>
              <w:bidi w:val="0"/>
              <w:spacing w:before="0" w:after="283"/>
              <w:jc w:val="right"/>
              <w:rPr/>
            </w:pPr>
            <w:r>
              <w:rPr/>
              <w:t>238,188</w:t>
            </w:r>
          </w:p>
        </w:tc>
        <w:tc>
          <w:tcPr>
            <w:tcW w:w="124"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number of shares of time-based restricted stock awards vested multiplied by the closing price of our Class A common stock on the vesting date. </w:t>
      </w:r>
      <w:r>
        <mc:AlternateContent>
          <mc:Choice Requires="wps">
            <w:drawing>
              <wp:anchor behindDoc="0" distT="10541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Retirement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a qualified retirement plan under Section 401(k) of the Internal Revenue Code. The plan covers all employees, including our NEOs. The plan currently provides for matching contributions of 50% of participant deferrals, with a maximum annual employer contribution of 3% of a participant’s compensation. The matching contribution formula is applied on a payroll to payroll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Change-In-Control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employment agreements for each NEO, in the event of a termination of the executive’s employment by us without “Cause” ​(as defined in the agreements), by the executive for “Good Reason,” ​(as defined in the agreements), or a non-renewal by us, the executive is entitled to receive the following payments and benefits: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the sum of base salary and target annual bonus for each fiscal year during the Severance Period (as defined below), payable in installments; </w:t>
      </w:r>
      <w:r>
        <mc:AlternateContent>
          <mc:Choice Requires="wps">
            <w:drawing>
              <wp:anchor behindDoc="0" distT="7874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 vesting of all time-based equity awards that would have vested through the Severance Period; </w:t>
      </w:r>
      <w:r>
        <mc:AlternateContent>
          <mc:Choice Requires="wps">
            <w:drawing>
              <wp:anchor behindDoc="0" distT="7874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performance-based equity awards remain outstanding and eligible to vest based on achievement of performance objectives through the Severance Period; and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5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stock options remain outstanding until the earlier of (i) the expiration of the Severance Period and (ii) the original expiration of the stock option.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Performance-Based Non-Qualified Stock Option Award Agreements, for each NEO, in the event of a termination of the executive’s employment by us without “Cause” ​(as defined in the agreements), by the executive for “Good Reason,” ​(as defined in the agreements), the Stock Options outstanding (i) shall become vested with respect to the service-based vesting requirements applicable to the Stock Options, if not satisfied previously, notwithstanding the termination of the NEO’s employment with the Company, with respect to those Stock Options that would have satisfied the service-based vesting requirements applicable to the Stock Options had the NEO remained employed with the Company through the Severance Period and the NEO, and (ii) such Stock Options, plus any of the NEO’s Stock Options with respect to which the service-based vesting requirements applicable to the Stock Options were satisfied previously, shall remain outstanding and eligible to become vested and exercisable on satisfaction of the performance-based vesting requirements applicable to such Stock Options prior to the earlier of the end of the Performance Period and the Severance Period on the same basis that such Stock Options would have become vested and exercisable had the NEOs employment with the Company not terminated prior to the earlier of the end of the Performance Period and the Severance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period is 18 months; provided that in the event such termination is on or within 24 months following a change in control or prior to and in anticipation of a change in control, the severance period is 30 months (such applicable period, the “Severance Period”). Such severance payments and benefits are subject to execution and non-revocation of a release of claims.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employment agreements, in the event of a termination due to death or incapacity, each NEO is entitled to the annual bonus that would have been paid had the executive remained employed until the end of the applicable bonus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termination of employment, each NEO is entitled to a lump sum equal to (i) any earned but unpaid base salary, (ii) any earned but unpaid annual bonus, (iii) any unreimbursed business expenses and (iv) vested and accrued employee benefits, if any, to which the executive is entitled under employee benefit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concerning our executive compensation, see “Compensation Discussion and Analysis”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shows the value to the NEOs of hypothetical benefits and payments provided upon termination as of December 31, 2023 under the Company’s policies and programs. The value of the acceleration of time-based equity awards and performance-based equity awards are calculated based on the $8.54 closing price of our Class A common stock on December 29, 2023.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62" w:type="dxa"/>
        <w:jc w:val="left"/>
        <w:tblInd w:w="543" w:type="dxa"/>
        <w:tblLayout w:type="fixed"/>
        <w:tblCellMar>
          <w:top w:w="0" w:type="dxa"/>
          <w:left w:w="0" w:type="dxa"/>
          <w:bottom w:w="28" w:type="dxa"/>
          <w:right w:w="0" w:type="dxa"/>
        </w:tblCellMar>
      </w:tblPr>
      <w:tblGrid>
        <w:gridCol w:w="1027"/>
        <w:gridCol w:w="109"/>
        <w:gridCol w:w="109"/>
        <w:gridCol w:w="1421"/>
        <w:gridCol w:w="109"/>
        <w:gridCol w:w="109"/>
        <w:gridCol w:w="110"/>
        <w:gridCol w:w="110"/>
        <w:gridCol w:w="899"/>
        <w:gridCol w:w="112"/>
        <w:gridCol w:w="109"/>
        <w:gridCol w:w="109"/>
        <w:gridCol w:w="110"/>
        <w:gridCol w:w="110"/>
        <w:gridCol w:w="899"/>
        <w:gridCol w:w="112"/>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102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1" w:type="dxa"/>
            <w:tcBorders>
              <w:bottom w:val="single" w:sz="2" w:space="0" w:color="000000"/>
            </w:tcBorders>
            <w:vAlign w:val="center"/>
          </w:tcPr>
          <w:p>
            <w:pPr>
              <w:pStyle w:val="TableContents"/>
              <w:bidi w:val="0"/>
              <w:spacing w:before="0" w:after="0"/>
              <w:jc w:val="center"/>
              <w:rPr>
                <w:spacing w:val="-3"/>
              </w:rPr>
            </w:pPr>
            <w:r>
              <w:rPr>
                <w:spacing w:val="-3"/>
              </w:rPr>
              <w:t xml:space="preserve">Payment and/or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for Cause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Voluntary </w:t>
              <w:br/>
              <w:t xml:space="preserve">Termination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Without </w:t>
              <w:br/>
              <w:t xml:space="preserve">Cause or for </w:t>
              <w:br/>
              <w:t xml:space="preserve">Good </w:t>
              <w:br/>
              <w:t xml:space="preserve">Reason or </w:t>
              <w:br/>
              <w:t xml:space="preserve">Non- </w:t>
              <w:br/>
              <w:t xml:space="preserve">Renewal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Termination </w:t>
              <w:br/>
              <w:t xml:space="preserve">Without </w:t>
              <w:br/>
              <w:t xml:space="preserve">Cause or for </w:t>
              <w:br/>
              <w:t xml:space="preserve">Good </w:t>
              <w:br/>
              <w:t xml:space="preserve">Reason or </w:t>
              <w:br/>
              <w:t xml:space="preserve">Non- </w:t>
              <w:br/>
              <w:t xml:space="preserve">Renewal </w:t>
              <w:br/>
              <w:t xml:space="preserve">Upon </w:t>
              <w:br/>
              <w:t xml:space="preserve">Change in </w:t>
              <w:br/>
              <w:t xml:space="preserve">Control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Incapacity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Death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27"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John Morris</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Base Salary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750,000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1,250,000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Annual Bonus</w:t>
            </w:r>
            <w:r>
              <w:rPr>
                <w:spacing w:val="3"/>
                <w:sz w:val="13"/>
              </w:rPr>
              <w:t>(2)</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457,875</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457,875</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1,207,875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1,707,875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457,875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457,875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Time-Based Restricted Stock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3,650,244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6,265,055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6,265,055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6,265,055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 xml:space="preserve">Acceleration of Performance- </w:t>
              <w:br/>
              <w:t xml:space="preserve">Based Restricted Stock Unit </w:t>
              <w:br/>
              <w:t>Awards</w:t>
            </w:r>
            <w:r>
              <w:rPr>
                <w:spacing w:val="3"/>
                <w:szCs w:val="13"/>
              </w:rPr>
              <w:t>﻿</w:t>
            </w:r>
            <w:r>
              <w:rPr>
                <w:spacing w:val="3"/>
                <w:sz w:val="13"/>
              </w:rPr>
              <w:t>(3)</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4,616,372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5,398,499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3,846,997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3,846,997</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Performance- </w:t>
              <w:br/>
              <w:t xml:space="preserve">Based Stock Option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restart"/>
            <w:tcBorders/>
            <w:tcMar>
              <w:bottom w:w="0" w:type="dxa"/>
            </w:tcMar>
            <w:vAlign w:val="center"/>
          </w:tcPr>
          <w:p>
            <w:pPr>
              <w:pStyle w:val="TableContents"/>
              <w:bidi w:val="0"/>
              <w:spacing w:lineRule="atLeast" w:line="240" w:before="0" w:after="0"/>
              <w:jc w:val="left"/>
              <w:rPr>
                <w:b/>
              </w:rPr>
            </w:pPr>
            <w:r>
              <w:rPr>
                <w:b/>
                <w:spacing w:val="-4"/>
              </w:rPr>
              <w:t>Tim Murphy</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lineRule="atLeast" w:line="240" w:before="0" w:after="0"/>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40" w:before="0" w:after="283"/>
              <w:jc w:val="right"/>
              <w:rPr/>
            </w:pPr>
            <w:r>
              <w:rPr/>
              <w:t>​</w:t>
            </w:r>
          </w:p>
        </w:tc>
        <w:tc>
          <w:tcPr>
            <w:tcW w:w="899" w:type="dxa"/>
            <w:tcBorders/>
            <w:tcMar>
              <w:bottom w:w="0" w:type="dxa"/>
            </w:tcMar>
            <w:vAlign w:val="center"/>
          </w:tcPr>
          <w:p>
            <w:pPr>
              <w:pStyle w:val="TableContents"/>
              <w:bidi w:val="0"/>
              <w:spacing w:lineRule="atLeast" w:line="240"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40" w:before="0" w:after="283"/>
              <w:jc w:val="right"/>
              <w:rPr/>
            </w:pPr>
            <w:r>
              <w:rPr/>
              <w:t>​</w:t>
            </w:r>
          </w:p>
        </w:tc>
        <w:tc>
          <w:tcPr>
            <w:tcW w:w="899" w:type="dxa"/>
            <w:tcBorders/>
            <w:tcMar>
              <w:bottom w:w="0" w:type="dxa"/>
            </w:tcMar>
            <w:vAlign w:val="center"/>
          </w:tcPr>
          <w:p>
            <w:pPr>
              <w:pStyle w:val="TableContents"/>
              <w:bidi w:val="0"/>
              <w:spacing w:lineRule="atLeast" w:line="240"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pPr>
            <w:r>
              <w:rPr>
                <w:spacing w:val="4"/>
              </w:rPr>
              <w:t>Annual Bonus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273,902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273,902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723,902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1,023,902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273,902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273,902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spacing w:val="4"/>
              </w:rPr>
            </w:pPr>
            <w:r>
              <w:rPr>
                <w:spacing w:val="4"/>
              </w:rPr>
              <w:t xml:space="preserve">Acceleration of Time-Based Restricted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981,075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1,634,658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1,634,658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1,634,658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pPr>
            <w:r>
              <w:rPr>
                <w:spacing w:val="4"/>
              </w:rPr>
              <w:t xml:space="preserve">Acceleration of Performance- </w:t>
              <w:br/>
              <w:t xml:space="preserve">Based Restricted Stock Unit </w:t>
              <w:br/>
              <w:t>Awards</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1,159,393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1,350,231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971,666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971,666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spacing w:val="4"/>
              </w:rPr>
            </w:pPr>
            <w:r>
              <w:rPr>
                <w:spacing w:val="4"/>
              </w:rPr>
              <w:t xml:space="preserve">Acceleration of Performance- </w:t>
              <w:br/>
              <w:t xml:space="preserve">Based Stock Option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692,169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Tyler Dempsey</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Base Salary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577,500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962,500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Annual Bonus</w:t>
            </w:r>
            <w:r>
              <w:rPr>
                <w:spacing w:val="3"/>
                <w:sz w:val="13"/>
              </w:rPr>
              <w:t>(2)</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176,774</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176,774</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465,524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658,024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176,774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176,774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Time-Based Restricted Stock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571,582</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957,334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957,334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957,334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 xml:space="preserve">Acceleration of Performance- </w:t>
              <w:br/>
              <w:t xml:space="preserve">Based Restricted Stock Unit </w:t>
              <w:br/>
              <w:t>Awards</w:t>
            </w:r>
            <w:r>
              <w:rPr>
                <w:spacing w:val="3"/>
                <w:szCs w:val="13"/>
              </w:rPr>
              <w:t>﻿</w:t>
            </w:r>
            <w:r>
              <w:rPr>
                <w:spacing w:val="3"/>
                <w:sz w:val="13"/>
              </w:rPr>
              <w:t>(3)</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682,290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796,600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569,844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569,844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Performance- </w:t>
              <w:br/>
              <w:t xml:space="preserve">Based Stock Option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461,443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restart"/>
            <w:tcBorders/>
            <w:tcMar>
              <w:bottom w:w="0" w:type="dxa"/>
            </w:tcMar>
            <w:vAlign w:val="center"/>
          </w:tcPr>
          <w:p>
            <w:pPr>
              <w:pStyle w:val="TableContents"/>
              <w:bidi w:val="0"/>
              <w:spacing w:lineRule="atLeast" w:line="240" w:before="0" w:after="0"/>
              <w:jc w:val="left"/>
              <w:rPr>
                <w:b/>
              </w:rPr>
            </w:pPr>
            <w:r>
              <w:rPr>
                <w:b/>
                <w:spacing w:val="-4"/>
              </w:rPr>
              <w:t>David Guthrie</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lineRule="atLeast" w:line="240" w:before="0" w:after="0"/>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40" w:before="0" w:after="283"/>
              <w:jc w:val="right"/>
              <w:rPr/>
            </w:pPr>
            <w:r>
              <w:rPr/>
              <w:t>​</w:t>
            </w:r>
          </w:p>
        </w:tc>
        <w:tc>
          <w:tcPr>
            <w:tcW w:w="899" w:type="dxa"/>
            <w:tcBorders/>
            <w:tcMar>
              <w:bottom w:w="0" w:type="dxa"/>
            </w:tcMar>
            <w:vAlign w:val="center"/>
          </w:tcPr>
          <w:p>
            <w:pPr>
              <w:pStyle w:val="TableContents"/>
              <w:bidi w:val="0"/>
              <w:spacing w:lineRule="atLeast" w:line="240"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40" w:before="0" w:after="283"/>
              <w:jc w:val="right"/>
              <w:rPr/>
            </w:pPr>
            <w:r>
              <w:rPr/>
              <w:t>​</w:t>
            </w:r>
          </w:p>
        </w:tc>
        <w:tc>
          <w:tcPr>
            <w:tcW w:w="899" w:type="dxa"/>
            <w:tcBorders/>
            <w:tcMar>
              <w:bottom w:w="0" w:type="dxa"/>
            </w:tcMar>
            <w:vAlign w:val="center"/>
          </w:tcPr>
          <w:p>
            <w:pPr>
              <w:pStyle w:val="TableContents"/>
              <w:bidi w:val="0"/>
              <w:spacing w:lineRule="atLeast" w:line="240"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pPr>
            <w:r>
              <w:rPr>
                <w:spacing w:val="4"/>
              </w:rPr>
              <w:t>Annual Bonus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258,229</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258,229</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708,229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1,008,229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258,229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258,229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spacing w:val="4"/>
              </w:rPr>
            </w:pPr>
            <w:r>
              <w:rPr>
                <w:spacing w:val="4"/>
              </w:rPr>
              <w:t xml:space="preserve">Acceleration of Time-Based Restricted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486,498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921,321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921,321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921,321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pPr>
            <w:r>
              <w:rPr>
                <w:spacing w:val="4"/>
              </w:rPr>
              <w:t xml:space="preserve">Acceleration of Performance- </w:t>
              <w:br/>
              <w:t xml:space="preserve">Based Restricted Stock Unit </w:t>
              <w:br/>
              <w:t>Awards</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764,914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897,273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634,713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634,713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21" w:type="dxa"/>
            <w:tcBorders/>
            <w:tcMar>
              <w:bottom w:w="0" w:type="dxa"/>
            </w:tcMar>
            <w:vAlign w:val="center"/>
          </w:tcPr>
          <w:p>
            <w:pPr>
              <w:pStyle w:val="TableContents"/>
              <w:bidi w:val="0"/>
              <w:spacing w:before="0" w:after="283"/>
              <w:jc w:val="left"/>
              <w:rPr>
                <w:spacing w:val="4"/>
              </w:rPr>
            </w:pPr>
            <w:r>
              <w:rPr>
                <w:spacing w:val="4"/>
              </w:rPr>
              <w:t xml:space="preserve">Acceleration of Performance- </w:t>
              <w:br/>
              <w:t xml:space="preserve">Based Stock Option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692,169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27" w:type="dxa"/>
            <w:vMerge w:val="restart"/>
            <w:tcBorders/>
            <w:shd w:fill="CBCBCB" w:val="clear"/>
            <w:tcMar>
              <w:bottom w:w="0" w:type="dxa"/>
            </w:tcMar>
            <w:vAlign w:val="center"/>
          </w:tcPr>
          <w:p>
            <w:pPr>
              <w:pStyle w:val="TableContents"/>
              <w:bidi w:val="0"/>
              <w:spacing w:lineRule="atLeast" w:line="240" w:before="0" w:after="0"/>
              <w:jc w:val="left"/>
              <w:rPr>
                <w:b/>
              </w:rPr>
            </w:pPr>
            <w:r>
              <w:rPr>
                <w:b/>
                <w:spacing w:val="-4"/>
              </w:rPr>
              <w:t>Jacob H. Moore</w:t>
            </w:r>
            <w:r>
              <w:rPr>
                <w:b/>
              </w:rPr>
              <w:t xml:space="preserve"> </w:t>
            </w:r>
          </w:p>
        </w:tc>
        <w:tc>
          <w:tcPr>
            <w:tcW w:w="109" w:type="dxa"/>
            <w:vMerge w:val="restart"/>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lineRule="atLeast" w:line="240" w:before="0" w:after="0"/>
              <w:jc w:val="left"/>
              <w:rPr>
                <w:spacing w:val="4"/>
              </w:rPr>
            </w:pPr>
            <w:r>
              <w:rPr>
                <w:spacing w:val="4"/>
              </w:rPr>
              <w:t xml:space="preserve">Base Salary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lineRule="atLeast" w:line="240" w:before="0" w:after="283"/>
              <w:jc w:val="right"/>
              <w:rPr/>
            </w:pPr>
            <w:r>
              <w:rPr/>
              <w:t>​</w:t>
            </w:r>
          </w:p>
        </w:tc>
        <w:tc>
          <w:tcPr>
            <w:tcW w:w="899" w:type="dxa"/>
            <w:tcBorders/>
            <w:shd w:fill="CBCBCB" w:val="clear"/>
            <w:tcMar>
              <w:bottom w:w="0" w:type="dxa"/>
            </w:tcMar>
            <w:vAlign w:val="center"/>
          </w:tcPr>
          <w:p>
            <w:pPr>
              <w:pStyle w:val="TableContents"/>
              <w:bidi w:val="0"/>
              <w:spacing w:lineRule="atLeast" w:line="240"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540,000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900,000</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lineRule="atLeast" w:line="240" w:before="0" w:after="283"/>
              <w:jc w:val="right"/>
              <w:rPr/>
            </w:pPr>
            <w:r>
              <w:rPr/>
              <w:t>​</w:t>
            </w:r>
          </w:p>
        </w:tc>
        <w:tc>
          <w:tcPr>
            <w:tcW w:w="1066" w:type="dxa"/>
            <w:tcBorders/>
            <w:shd w:fill="CBCBCB" w:val="clear"/>
            <w:tcMar>
              <w:bottom w:w="0" w:type="dxa"/>
            </w:tcMar>
            <w:vAlign w:val="center"/>
          </w:tcPr>
          <w:p>
            <w:pPr>
              <w:pStyle w:val="TableContents"/>
              <w:bidi w:val="0"/>
              <w:spacing w:lineRule="atLeast" w:line="240"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Annual Bonus</w:t>
            </w:r>
            <w:r>
              <w:rPr>
                <w:spacing w:val="3"/>
                <w:sz w:val="13"/>
              </w:rPr>
              <w:t>(2)</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267,543</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267,543</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672,543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942,543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267,543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267,543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Time-Based Restricted Stock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475,635</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854,564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854,564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854,564</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pPr>
            <w:r>
              <w:rPr>
                <w:spacing w:val="4"/>
              </w:rPr>
              <w:t xml:space="preserve">Acceleration of Performance- </w:t>
              <w:br/>
              <w:t xml:space="preserve">Based Restricted Stock Unit </w:t>
              <w:br/>
              <w:t>Awards</w:t>
            </w:r>
            <w:r>
              <w:rPr>
                <w:spacing w:val="3"/>
                <w:szCs w:val="13"/>
              </w:rPr>
              <w:t>﻿</w:t>
            </w:r>
            <w:r>
              <w:rPr>
                <w:spacing w:val="3"/>
                <w:sz w:val="13"/>
              </w:rPr>
              <w:t>(3)</w:t>
            </w:r>
            <w:r>
              <w:rPr/>
              <w:t xml:space="preserve">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660,679</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781,006</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542,313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542,313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r>
        <w:trPr/>
        <w:tc>
          <w:tcPr>
            <w:tcW w:w="1027" w:type="dxa"/>
            <w:vMerge w:val="continue"/>
            <w:tcBorders/>
            <w:shd w:fill="CBCBCB" w:val="clear"/>
            <w:tcMar>
              <w:bottom w:w="0" w:type="dxa"/>
            </w:tcMar>
            <w:vAlign w:val="center"/>
          </w:tcPr>
          <w:p>
            <w:pPr>
              <w:pStyle w:val="Normal"/>
              <w:bidi w:val="0"/>
              <w:jc w:val="left"/>
              <w:rPr/>
            </w:pPr>
            <w:r>
              <w:rPr/>
            </w:r>
          </w:p>
        </w:tc>
        <w:tc>
          <w:tcPr>
            <w:tcW w:w="109" w:type="dxa"/>
            <w:vMerge w:val="continue"/>
            <w:tcBorders/>
            <w:shd w:fill="CBCBCB" w:val="clear"/>
            <w:tcMar>
              <w:bottom w:w="0" w:type="dxa"/>
            </w:tcMar>
            <w:vAlign w:val="center"/>
          </w:tcPr>
          <w:p>
            <w:pPr>
              <w:pStyle w:val="Normal"/>
              <w:bidi w:val="0"/>
              <w:jc w:val="left"/>
              <w:rPr/>
            </w:pPr>
            <w:r>
              <w:rPr/>
            </w:r>
          </w:p>
        </w:tc>
        <w:tc>
          <w:tcPr>
            <w:tcW w:w="109" w:type="dxa"/>
            <w:tcBorders/>
            <w:shd w:fill="CBCBCB" w:val="clear"/>
            <w:tcMar>
              <w:bottom w:w="0" w:type="dxa"/>
            </w:tcMar>
            <w:vAlign w:val="center"/>
          </w:tcPr>
          <w:p>
            <w:pPr>
              <w:pStyle w:val="TableContents"/>
              <w:bidi w:val="0"/>
              <w:spacing w:before="0" w:after="283"/>
              <w:jc w:val="left"/>
              <w:rPr/>
            </w:pPr>
            <w:r>
              <w:rPr/>
              <w:t>​</w:t>
            </w:r>
          </w:p>
        </w:tc>
        <w:tc>
          <w:tcPr>
            <w:tcW w:w="1421" w:type="dxa"/>
            <w:tcBorders/>
            <w:shd w:fill="CBCBCB" w:val="clear"/>
            <w:tcMar>
              <w:bottom w:w="0" w:type="dxa"/>
            </w:tcMar>
            <w:vAlign w:val="center"/>
          </w:tcPr>
          <w:p>
            <w:pPr>
              <w:pStyle w:val="TableContents"/>
              <w:bidi w:val="0"/>
              <w:spacing w:before="0" w:after="283"/>
              <w:jc w:val="left"/>
              <w:rPr>
                <w:spacing w:val="4"/>
              </w:rPr>
            </w:pPr>
            <w:r>
              <w:rPr>
                <w:spacing w:val="4"/>
              </w:rPr>
              <w:t xml:space="preserve">Acceleration of Performance- </w:t>
              <w:br/>
              <w:t xml:space="preserve">Based Stock Option Awards </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left"/>
              <w:rPr/>
            </w:pPr>
            <w:r>
              <w:rPr/>
              <w:t>​</w:t>
            </w:r>
          </w:p>
        </w:tc>
        <w:tc>
          <w:tcPr>
            <w:tcW w:w="110" w:type="dxa"/>
            <w:tcBorders/>
            <w:shd w:fill="CBCBCB" w:val="clear"/>
            <w:tcMar>
              <w:bottom w:w="0" w:type="dxa"/>
            </w:tcMar>
            <w:vAlign w:val="center"/>
          </w:tcPr>
          <w:p>
            <w:pPr>
              <w:pStyle w:val="TableContents"/>
              <w:bidi w:val="0"/>
              <w:spacing w:before="0" w:after="283"/>
              <w:jc w:val="right"/>
              <w:rPr/>
            </w:pPr>
            <w:r>
              <w:rPr/>
              <w:t>​</w:t>
            </w:r>
          </w:p>
        </w:tc>
        <w:tc>
          <w:tcPr>
            <w:tcW w:w="899" w:type="dxa"/>
            <w:tcBorders/>
            <w:shd w:fill="CBCBCB" w:val="clear"/>
            <w:tcMar>
              <w:bottom w:w="0" w:type="dxa"/>
            </w:tcMar>
            <w:vAlign w:val="center"/>
          </w:tcPr>
          <w:p>
            <w:pPr>
              <w:pStyle w:val="TableContents"/>
              <w:bidi w:val="0"/>
              <w:spacing w:before="0" w:after="283"/>
              <w:jc w:val="right"/>
              <w:rPr/>
            </w:pPr>
            <w:r>
              <w:rPr/>
              <w:t>—</w:t>
            </w:r>
          </w:p>
        </w:tc>
        <w:tc>
          <w:tcPr>
            <w:tcW w:w="112"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461,443</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09" w:type="dxa"/>
            <w:tcBorders/>
            <w:shd w:fill="CBCBCB" w:val="clear"/>
            <w:tcMar>
              <w:bottom w:w="0" w:type="dxa"/>
            </w:tcMar>
            <w:vAlign w:val="center"/>
          </w:tcPr>
          <w:p>
            <w:pPr>
              <w:pStyle w:val="TableContents"/>
              <w:bidi w:val="0"/>
              <w:spacing w:before="0" w:after="283"/>
              <w:jc w:val="right"/>
              <w:rPr/>
            </w:pPr>
            <w:r>
              <w:rPr/>
              <w:t>​</w:t>
            </w:r>
          </w:p>
        </w:tc>
        <w:tc>
          <w:tcPr>
            <w:tcW w:w="1066" w:type="dxa"/>
            <w:tcBorders/>
            <w:shd w:fill="CBCBCB" w:val="clear"/>
            <w:tcMar>
              <w:bottom w:w="0" w:type="dxa"/>
            </w:tcMar>
            <w:vAlign w:val="center"/>
          </w:tcPr>
          <w:p>
            <w:pPr>
              <w:pStyle w:val="TableContents"/>
              <w:bidi w:val="0"/>
              <w:spacing w:before="0" w:after="283"/>
              <w:jc w:val="right"/>
              <w:rPr/>
            </w:pPr>
            <w:r>
              <w:rPr/>
              <w:t>—</w:t>
            </w:r>
          </w:p>
        </w:tc>
        <w:tc>
          <w:tcPr>
            <w:tcW w:w="109" w:type="dxa"/>
            <w:tcBorders/>
            <w:shd w:fill="CBCBCB" w:val="clear"/>
            <w:tcMar>
              <w:bottom w:w="0" w:type="dxa"/>
            </w:tcMar>
            <w:vAlign w:val="center"/>
          </w:tcPr>
          <w:p>
            <w:pPr>
              <w:pStyle w:val="TableContents"/>
              <w:bidi w:val="0"/>
              <w:spacing w:before="0" w:after="283"/>
              <w:jc w:val="left"/>
              <w:rPr/>
            </w:pPr>
            <w:r>
              <w:rPr/>
              <w:t>​</w:t>
            </w:r>
          </w:p>
        </w:tc>
        <w:tc>
          <w:tcPr>
            <w:tcW w:w="154" w:type="dxa"/>
            <w:tcBorders/>
            <w:shd w:fill="CBCBCB"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RD"/>
      <w:bookmarkEnd w:id="22"/>
      <w:r>
        <w:rPr>
          <w:rFonts w:ascii="calibri;arial;sans-serif" w:hAnsi="calibri;arial;sans-serif"/>
          <w:b w:val="false"/>
          <w:i w:val="false"/>
          <w:caps w:val="false"/>
          <w:smallCaps w:val="false"/>
          <w:color w:val="000000"/>
          <w:sz w:val="16"/>
        </w:rPr>
        <w:t>​</w:t>
      </w:r>
      <w:bookmarkStart w:id="23" w:name="tPV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a change in control occurred on December 31, 2023, immediately followed by the executive’s termination. </w:t>
      </w:r>
      <w:r>
        <mc:AlternateContent>
          <mc:Choice Requires="wps">
            <w:drawing>
              <wp:anchor behindDoc="0" distT="1016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includes 2023 AIP bonus because, under executive employment agreements, such bonus is deemed earned if the executive is employed on December 31, 2023.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Assumes TSR performance thresholds from third party calculation of actual performance through December 31, 2023.</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Ratio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Item 402(u) of Regulation S-K promulgated under the Exchange Act, we are required to disclose the median annual total compensation of all the Company’s employees, the total compensation of our CEO and the ratio of those two amounts. The pay ratio set forth below is a reasonable estimate and has been calculated in a manner consistent with SEC rules and based on the methodology described below. The SEC rules for identifying median employees allow companies to use a variety of methodologies. As a result, the pay ratio reported by others may not be comparable to our reported pay ratio. For the year ended December 31, 2023: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compensation for our median employee was $97,815;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total compensation of Mr. Morris was $8,922,581; and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information above, the ratio of the annual total compensation of our CEO to the median of the annual total compensation of all employees is 91 to 1.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methodology that we used and the material assumptions, adjustments and estimates that we used to identify the median and determine annual total compensation were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Employee population.</w:t>
      </w:r>
      <w:r>
        <w:rPr>
          <w:rFonts w:ascii="Times New Roman;Times;serif" w:hAnsi="Times New Roman;Times;serif"/>
          <w:b w:val="false"/>
          <w:i w:val="false"/>
          <w:caps w:val="false"/>
          <w:smallCaps w:val="false"/>
          <w:color w:val="000000"/>
          <w:spacing w:val="4"/>
          <w:sz w:val="20"/>
        </w:rPr>
        <w:t xml:space="preserve">   As of December 31, 2023, the date we selected to identify our median employee, our employee population consisted of approximately 516 individuals, which reflects our employee population for purposes of determining the pay ratio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Identification of Median.</w:t>
      </w:r>
      <w:r>
        <w:rPr>
          <w:rFonts w:ascii="Times New Roman;Times;serif" w:hAnsi="Times New Roman;Times;serif"/>
          <w:b w:val="false"/>
          <w:i w:val="false"/>
          <w:caps w:val="false"/>
          <w:smallCaps w:val="false"/>
          <w:color w:val="000000"/>
          <w:spacing w:val="4"/>
          <w:sz w:val="20"/>
        </w:rPr>
        <w:t xml:space="preserve">   To identify the median of the annual total compensation of all of our employees, we reviewed the total cash compensation of all applicable employees for the twelve-month period ending on December 31, 2023 (the “reported compensation”). In making this calculation, we did not annualize the reported compensation of any of our employees who were hired during the period, nor did we make any cost of living adjustments to the reported compensation in identifying the median employee. Using this methodology, we determined that our median employee was a full-time, salaried and commission-eligible employee located in the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Item 402(v) of Regulation S-K, we are providing the following information about the relationship between executive compensation actually paid (“CAP”) and certain financial performance of the Company. In determining CAP to the named executive officers, the Company is required to make various adjustments to the amounts that have been previously reported in the Summary Compensation Table (“SCT”) for the fiscal years presented, as the SEC’s valuation methods for this section differ from those required in the Summary Compensation Table. For further information concerning the Company’s variable pay-for-performance philosophy and how the Company’s aligns executive compensation with the Company’s performance, refer to “Executive Compensation — Compensation Discussion and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Most Important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three items listed below represent the most important metrics we used to determine CAP for FY2023 as further described in our Compensation Discussion and Analysis (CD&amp;A).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Most Important Performance Measures</w:t>
      </w:r>
      <w:r>
        <w:rPr>
          <w:rFonts w:ascii="Times New Roman;Times;serif" w:hAnsi="Times New Roman;Times;serif"/>
          <w:b/>
          <w:i w:val="false"/>
          <w:caps w:val="false"/>
          <w:smallCaps w:val="false"/>
          <w:color w:val="000000"/>
          <w:spacing w:val="4"/>
          <w:sz w:val="20"/>
        </w:rPr>
        <w:t xml:space="preserve"> </w:t>
      </w:r>
    </w:p>
    <w:tbl>
      <w:tblPr>
        <w:tblW w:w="4490" w:type="dxa"/>
        <w:jc w:val="left"/>
        <w:tblInd w:w="1393" w:type="dxa"/>
        <w:tblLayout w:type="fixed"/>
        <w:tblCellMar>
          <w:top w:w="0" w:type="dxa"/>
          <w:left w:w="0" w:type="dxa"/>
          <w:bottom w:w="0" w:type="dxa"/>
          <w:right w:w="0" w:type="dxa"/>
        </w:tblCellMar>
      </w:tblPr>
      <w:tblGrid>
        <w:gridCol w:w="124"/>
        <w:gridCol w:w="4212"/>
        <w:gridCol w:w="154"/>
      </w:tblGrid>
      <w:tr>
        <w:trPr/>
        <w:tc>
          <w:tcPr>
            <w:tcW w:w="124" w:type="dxa"/>
            <w:tcBorders/>
            <w:shd w:fill="CCCCCC" w:val="clear"/>
            <w:vAlign w:val="center"/>
          </w:tcPr>
          <w:p>
            <w:pPr>
              <w:pStyle w:val="TableContents"/>
              <w:bidi w:val="0"/>
              <w:spacing w:before="0" w:after="283"/>
              <w:jc w:val="left"/>
              <w:rPr/>
            </w:pPr>
            <w:r>
              <w:rPr/>
              <w:t>​</w:t>
            </w:r>
          </w:p>
        </w:tc>
        <w:tc>
          <w:tcPr>
            <w:tcW w:w="4212" w:type="dxa"/>
            <w:tcBorders/>
            <w:shd w:fill="CCCCCC" w:val="clear"/>
            <w:vAlign w:val="center"/>
          </w:tcPr>
          <w:p>
            <w:pPr>
              <w:pStyle w:val="TableContents"/>
              <w:bidi w:val="0"/>
              <w:spacing w:before="0" w:after="283"/>
              <w:jc w:val="left"/>
              <w:rPr>
                <w:spacing w:val="4"/>
              </w:rPr>
            </w:pPr>
            <w:r>
              <w:rPr>
                <w:spacing w:val="4"/>
              </w:rPr>
              <w:t xml:space="preserve">Adjusted EBITDA </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12" w:type="dxa"/>
            <w:tcBorders/>
            <w:vAlign w:val="center"/>
          </w:tcPr>
          <w:p>
            <w:pPr>
              <w:pStyle w:val="TableContents"/>
              <w:bidi w:val="0"/>
              <w:spacing w:before="0" w:after="283"/>
              <w:jc w:val="left"/>
              <w:rPr>
                <w:spacing w:val="4"/>
              </w:rPr>
            </w:pPr>
            <w:r>
              <w:rPr>
                <w:spacing w:val="4"/>
              </w:rPr>
              <w:t xml:space="preserve">Normalized Organic Gross Profit Growth </w:t>
            </w:r>
          </w:p>
        </w:tc>
        <w:tc>
          <w:tcPr>
            <w:tcW w:w="154" w:type="dxa"/>
            <w:tcBorders/>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4212" w:type="dxa"/>
            <w:tcBorders/>
            <w:shd w:fill="CCCCCC" w:val="clear"/>
            <w:vAlign w:val="center"/>
          </w:tcPr>
          <w:p>
            <w:pPr>
              <w:pStyle w:val="TableContents"/>
              <w:bidi w:val="0"/>
              <w:spacing w:before="0" w:after="283"/>
              <w:jc w:val="left"/>
              <w:rPr/>
            </w:pPr>
            <w:r>
              <w:rPr>
                <w:spacing w:val="4"/>
              </w:rPr>
              <w:t>Total Stockholder Return</w:t>
            </w:r>
            <w:r>
              <w:rPr/>
              <w:t xml:space="preserve"> </w:t>
            </w:r>
          </w:p>
        </w:tc>
        <w:tc>
          <w:tcPr>
            <w:tcW w:w="154" w:type="dxa"/>
            <w:tcBorders/>
            <w:shd w:fill="CCCCCC" w:val="clear"/>
            <w:vAlign w:val="center"/>
          </w:tcPr>
          <w:p>
            <w:pPr>
              <w:pStyle w:val="TableContents"/>
              <w:bidi w:val="0"/>
              <w:spacing w:before="0" w:after="283"/>
              <w:jc w:val="left"/>
              <w:rPr/>
            </w:pPr>
            <w:r>
              <w:rPr/>
              <w:t>​</w:t>
            </w:r>
          </w:p>
        </w:tc>
      </w:tr>
    </w:tbl>
    <w:tbl>
      <w:tblPr>
        <w:tblW w:w="13935" w:type="dxa"/>
        <w:jc w:val="left"/>
        <w:tblInd w:w="543" w:type="dxa"/>
        <w:tblLayout w:type="fixed"/>
        <w:tblCellMar>
          <w:top w:w="0" w:type="dxa"/>
          <w:left w:w="0" w:type="dxa"/>
          <w:bottom w:w="28" w:type="dxa"/>
          <w:right w:w="0" w:type="dxa"/>
        </w:tblCellMar>
      </w:tblPr>
      <w:tblGrid>
        <w:gridCol w:w="124"/>
        <w:gridCol w:w="598"/>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09"/>
        <w:gridCol w:w="226"/>
        <w:gridCol w:w="766"/>
        <w:gridCol w:w="109"/>
        <w:gridCol w:w="109"/>
        <w:gridCol w:w="109"/>
        <w:gridCol w:w="109"/>
        <w:gridCol w:w="226"/>
        <w:gridCol w:w="961"/>
        <w:gridCol w:w="109"/>
        <w:gridCol w:w="109"/>
        <w:gridCol w:w="109"/>
        <w:gridCol w:w="109"/>
        <w:gridCol w:w="226"/>
        <w:gridCol w:w="886"/>
        <w:gridCol w:w="109"/>
        <w:gridCol w:w="154"/>
      </w:tblGrid>
      <w:tr>
        <w:trPr/>
        <w:tc>
          <w:tcPr>
            <w:tcW w:w="124"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598" w:type="dxa"/>
            <w:vMerge w:val="restart"/>
            <w:tcBorders>
              <w:bottom w:val="single" w:sz="2" w:space="0" w:color="000000"/>
            </w:tcBorders>
            <w:shd w:fill="FFFFFF" w:val="clear"/>
            <w:vAlign w:val="center"/>
          </w:tcPr>
          <w:p>
            <w:pPr>
              <w:pStyle w:val="TableContents"/>
              <w:bidi w:val="0"/>
              <w:spacing w:lineRule="atLeast" w:line="180" w:before="0" w:after="0"/>
              <w:jc w:val="left"/>
              <w:rPr>
                <w:spacing w:val="-3"/>
              </w:rPr>
            </w:pPr>
            <w:r>
              <w:rPr>
                <w:spacing w:val="-3"/>
              </w:rPr>
              <w:t xml:space="preserve">Year </w:t>
              <w:br/>
              <w:t xml:space="preserve">(a)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shd w:fill="FFFFFF" w:val="clear"/>
            <w:vAlign w:val="center"/>
          </w:tcPr>
          <w:p>
            <w:pPr>
              <w:pStyle w:val="TableContents"/>
              <w:bidi w:val="0"/>
              <w:spacing w:lineRule="atLeast" w:line="180" w:before="0" w:after="0"/>
              <w:jc w:val="center"/>
              <w:rPr>
                <w:spacing w:val="-3"/>
              </w:rPr>
            </w:pPr>
            <w:r>
              <w:rPr>
                <w:spacing w:val="-3"/>
              </w:rPr>
              <w:t xml:space="preserve">Summary </w:t>
              <w:br/>
              <w:t xml:space="preserve">Compensation </w:t>
              <w:br/>
              <w:t xml:space="preserve">Table Total to </w:t>
              <w:br/>
              <w:t xml:space="preserve">CEO </w:t>
              <w:br/>
              <w:t xml:space="preserve">(b)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CEO</w:t>
            </w:r>
            <w:r>
              <w:rPr>
                <w:spacing w:val="-2"/>
                <w:sz w:val="10"/>
              </w:rPr>
              <w:t>(1)</w:t>
            </w:r>
            <w:r>
              <w:rPr>
                <w:spacing w:val="-3"/>
              </w:rPr>
              <w:t xml:space="preserve"> </w:t>
              <w:br/>
              <w:t xml:space="preserve">(c)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Non-CEO </w:t>
              <w:br/>
              <w:t>NEOs</w:t>
            </w:r>
            <w:r>
              <w:rPr>
                <w:spacing w:val="-2"/>
                <w:sz w:val="10"/>
              </w:rPr>
              <w:t>(2)</w:t>
            </w:r>
            <w:r>
              <w:rPr>
                <w:spacing w:val="-3"/>
              </w:rPr>
              <w:t xml:space="preserve"> </w:t>
              <w:br/>
              <w:t xml:space="preserve">(d)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Non-CEO </w:t>
              <w:br/>
              <w:t>NEOs</w:t>
            </w:r>
            <w:r>
              <w:rPr>
                <w:spacing w:val="-2"/>
                <w:sz w:val="10"/>
              </w:rPr>
              <w:t>(2)</w:t>
            </w:r>
            <w:r>
              <w:rPr>
                <w:spacing w:val="-3"/>
              </w:rPr>
              <w:t xml:space="preserve"> </w:t>
              <w:br/>
              <w:t xml:space="preserve">(e)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638" w:type="dxa"/>
            <w:gridSpan w:val="10"/>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Value of Initial </w:t>
              <w:br/>
              <w:t xml:space="preserve">Fixed $100 </w:t>
              <w:br/>
              <w:t xml:space="preserve">Investment Based On: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Net Income </w:t>
              <w:br/>
              <w:t>(in thousands)</w:t>
            </w:r>
            <w:r>
              <w:rPr>
                <w:spacing w:val="-2"/>
                <w:sz w:val="10"/>
              </w:rPr>
              <w:t>(5)</w:t>
            </w:r>
            <w:r>
              <w:rPr>
                <w:spacing w:val="-3"/>
              </w:rPr>
              <w:t xml:space="preserve"> </w:t>
              <w:br/>
              <w:t xml:space="preserve">(h) </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330" w:type="dxa"/>
            <w:gridSpan w:val="4"/>
            <w:vMerge w:val="restart"/>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Adjusted </w:t>
              <w:br/>
              <w:t xml:space="preserve">EBITDA </w:t>
              <w:br/>
              <w:t>(in thousands)</w:t>
            </w:r>
            <w:r>
              <w:rPr>
                <w:spacing w:val="-2"/>
                <w:sz w:val="10"/>
              </w:rPr>
              <w:t>(6)</w:t>
            </w:r>
            <w:r>
              <w:rPr>
                <w:spacing w:val="-3"/>
              </w:rPr>
              <w:t xml:space="preserve"> </w:t>
              <w:br/>
              <w:t xml:space="preserve">(i) </w:t>
            </w:r>
          </w:p>
        </w:tc>
        <w:tc>
          <w:tcPr>
            <w:tcW w:w="154" w:type="dxa"/>
            <w:vMerge w:val="restart"/>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FFFFFF" w:val="clear"/>
            <w:vAlign w:val="center"/>
          </w:tcPr>
          <w:p>
            <w:pPr>
              <w:pStyle w:val="Normal"/>
              <w:bidi w:val="0"/>
              <w:jc w:val="left"/>
              <w:rPr/>
            </w:pPr>
            <w:r>
              <w:rPr/>
            </w:r>
          </w:p>
        </w:tc>
        <w:tc>
          <w:tcPr>
            <w:tcW w:w="598" w:type="dxa"/>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510" w:type="dxa"/>
            <w:gridSpan w:val="4"/>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630" w:type="dxa"/>
            <w:gridSpan w:val="4"/>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510" w:type="dxa"/>
            <w:gridSpan w:val="4"/>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510" w:type="dxa"/>
            <w:gridSpan w:val="4"/>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10" w:type="dxa"/>
            <w:gridSpan w:val="4"/>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Company </w:t>
              <w:br/>
              <w:t>TSR</w:t>
            </w:r>
            <w:r>
              <w:rPr>
                <w:spacing w:val="-2"/>
                <w:sz w:val="10"/>
              </w:rPr>
              <w:t>(3)</w:t>
            </w:r>
            <w:r>
              <w:rPr>
                <w:spacing w:val="-3"/>
              </w:rPr>
              <w:t xml:space="preserve"> </w:t>
              <w:br/>
              <w:t xml:space="preserve">(f)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10" w:type="dxa"/>
            <w:gridSpan w:val="4"/>
            <w:tcBorders>
              <w:bottom w:val="single" w:sz="2" w:space="0" w:color="000000"/>
            </w:tcBorders>
            <w:shd w:fill="FFFFFF" w:val="clear"/>
            <w:vAlign w:val="center"/>
          </w:tcPr>
          <w:p>
            <w:pPr>
              <w:pStyle w:val="TableContents"/>
              <w:bidi w:val="0"/>
              <w:spacing w:lineRule="atLeast" w:line="142" w:before="0" w:after="0"/>
              <w:jc w:val="center"/>
              <w:rPr/>
            </w:pPr>
            <w:r>
              <w:rPr>
                <w:spacing w:val="-3"/>
              </w:rPr>
              <w:t xml:space="preserve">Peer Group </w:t>
              <w:br/>
              <w:t>TSR</w:t>
            </w:r>
            <w:r>
              <w:rPr>
                <w:spacing w:val="-2"/>
                <w:sz w:val="10"/>
              </w:rPr>
              <w:t>(4)</w:t>
            </w:r>
            <w:r>
              <w:rPr>
                <w:spacing w:val="-3"/>
              </w:rPr>
              <w:t xml:space="preserve"> </w:t>
              <w:br/>
              <w:t xml:space="preserve">(g)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continue"/>
            <w:tcBorders>
              <w:bottom w:val="single" w:sz="2" w:space="0" w:color="FFFFFF"/>
            </w:tcBorders>
            <w:shd w:fill="FFFFFF" w:val="clear"/>
            <w:vAlign w:val="center"/>
          </w:tcPr>
          <w:p>
            <w:pPr>
              <w:pStyle w:val="Normal"/>
              <w:bidi w:val="0"/>
              <w:jc w:val="left"/>
              <w:rPr/>
            </w:pPr>
            <w:r>
              <w:rPr/>
            </w:r>
          </w:p>
        </w:tc>
        <w:tc>
          <w:tcPr>
            <w:tcW w:w="1405" w:type="dxa"/>
            <w:gridSpan w:val="4"/>
            <w:vMerge w:val="continue"/>
            <w:tcBorders>
              <w:bottom w:val="single" w:sz="2" w:space="0" w:color="000000"/>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330" w:type="dxa"/>
            <w:gridSpan w:val="4"/>
            <w:vMerge w:val="continue"/>
            <w:tcBorders>
              <w:bottom w:val="single" w:sz="2" w:space="0" w:color="000000"/>
            </w:tcBorders>
            <w:shd w:fill="FFFFFF" w:val="clear"/>
            <w:vAlign w:val="center"/>
          </w:tcPr>
          <w:p>
            <w:pPr>
              <w:pStyle w:val="Normal"/>
              <w:bidi w:val="0"/>
              <w:jc w:val="left"/>
              <w:rPr/>
            </w:pPr>
            <w:r>
              <w:rPr/>
            </w:r>
          </w:p>
        </w:tc>
        <w:tc>
          <w:tcPr>
            <w:tcW w:w="154" w:type="dxa"/>
            <w:vMerge w:val="continue"/>
            <w:tcBorders>
              <w:bottom w:val="single" w:sz="2" w:space="0" w:color="FFFFFF"/>
            </w:tcBorders>
            <w:shd w:fill="FFFFFF" w:val="clear"/>
            <w:vAlign w:val="center"/>
          </w:tcPr>
          <w:p>
            <w:pPr>
              <w:pStyle w:val="Normal"/>
              <w:bidi w:val="0"/>
              <w:jc w:val="left"/>
              <w:rPr/>
            </w:pPr>
            <w:r>
              <w:rPr/>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8,922,581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10,501,439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2,688,086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4,041,336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766" w:type="dxa"/>
            <w:tcBorders/>
            <w:shd w:fill="CCCCCC" w:val="clear"/>
            <w:tcMar>
              <w:bottom w:w="0" w:type="dxa"/>
            </w:tcMar>
            <w:vAlign w:val="center"/>
          </w:tcPr>
          <w:p>
            <w:pPr>
              <w:pStyle w:val="TableContents"/>
              <w:bidi w:val="0"/>
              <w:spacing w:before="0" w:after="283"/>
              <w:jc w:val="right"/>
              <w:rPr/>
            </w:pPr>
            <w:r>
              <w:rPr/>
              <w:t>58.29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766" w:type="dxa"/>
            <w:tcBorders/>
            <w:shd w:fill="CCCCCC" w:val="clear"/>
            <w:tcMar>
              <w:bottom w:w="0" w:type="dxa"/>
            </w:tcMar>
            <w:vAlign w:val="center"/>
          </w:tcPr>
          <w:p>
            <w:pPr>
              <w:pStyle w:val="TableContents"/>
              <w:bidi w:val="0"/>
              <w:spacing w:before="0" w:after="283"/>
              <w:jc w:val="right"/>
              <w:rPr/>
            </w:pPr>
            <w:r>
              <w:rPr/>
              <w:t>210.85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961" w:type="dxa"/>
            <w:tcBorders/>
            <w:shd w:fill="CCCCCC" w:val="clear"/>
            <w:tcMar>
              <w:bottom w:w="0" w:type="dxa"/>
            </w:tcMar>
            <w:vAlign w:val="center"/>
          </w:tcPr>
          <w:p>
            <w:pPr>
              <w:pStyle w:val="TableContents"/>
              <w:bidi w:val="0"/>
              <w:spacing w:before="0" w:after="283"/>
              <w:jc w:val="right"/>
              <w:rPr/>
            </w:pPr>
            <w:r>
              <w:rPr/>
              <w:t>(117,420)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126,806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6,101,031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(1,912,798)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1,432,824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(866,781)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134.82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124,519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 xml:space="preserve">5,426,105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1,231,283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1,693,926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 xml:space="preserve">467,057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766" w:type="dxa"/>
            <w:tcBorders/>
            <w:shd w:fill="CCCCCC" w:val="clear"/>
            <w:tcMar>
              <w:bottom w:w="0" w:type="dxa"/>
            </w:tcMar>
            <w:vAlign w:val="center"/>
          </w:tcPr>
          <w:p>
            <w:pPr>
              <w:pStyle w:val="TableContents"/>
              <w:bidi w:val="0"/>
              <w:spacing w:before="0" w:after="283"/>
              <w:jc w:val="right"/>
              <w:rPr/>
            </w:pPr>
            <w:r>
              <w:rPr/>
              <w:t>124.71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766" w:type="dxa"/>
            <w:tcBorders/>
            <w:shd w:fill="CCCCCC" w:val="clear"/>
            <w:tcMar>
              <w:bottom w:w="0" w:type="dxa"/>
            </w:tcMar>
            <w:vAlign w:val="center"/>
          </w:tcPr>
          <w:p>
            <w:pPr>
              <w:pStyle w:val="TableContents"/>
              <w:bidi w:val="0"/>
              <w:spacing w:before="0" w:after="283"/>
              <w:jc w:val="right"/>
              <w:rPr/>
            </w:pPr>
            <w:r>
              <w:rPr/>
              <w:t>189.64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961" w:type="dxa"/>
            <w:tcBorders/>
            <w:shd w:fill="CCCCCC" w:val="clear"/>
            <w:tcMar>
              <w:bottom w:w="0" w:type="dxa"/>
            </w:tcMar>
            <w:vAlign w:val="center"/>
          </w:tcPr>
          <w:p>
            <w:pPr>
              <w:pStyle w:val="TableContents"/>
              <w:bidi w:val="0"/>
              <w:spacing w:before="0" w:after="283"/>
              <w:jc w:val="right"/>
              <w:rPr/>
            </w:pPr>
            <w:r>
              <w:rPr/>
              <w:t>(56,037)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93,120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4,419,653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10,971,802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1,370,738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3,709,423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(117,366)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59,551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in column (c) represent the amount of CAP to our Chief Executive Officer (“CEO”), John A. Morris, as computed in accordance with Item 402(v) of Regulation S-K. The dollar amounts do not reflect the actual amount of compensation earned by or paid to Mr. Morris during the applicable year. To calculate CAP to Mr. Morris, for each of the years shown, the following amounts were deducted from and added to SCT total compensation.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418" w:type="dxa"/>
        <w:jc w:val="left"/>
        <w:tblInd w:w="1393" w:type="dxa"/>
        <w:tblLayout w:type="fixed"/>
        <w:tblCellMar>
          <w:top w:w="0" w:type="dxa"/>
          <w:left w:w="0" w:type="dxa"/>
          <w:bottom w:w="28" w:type="dxa"/>
          <w:right w:w="0" w:type="dxa"/>
        </w:tblCellMar>
      </w:tblPr>
      <w:tblGrid>
        <w:gridCol w:w="124"/>
        <w:gridCol w:w="658"/>
        <w:gridCol w:w="109"/>
        <w:gridCol w:w="109"/>
        <w:gridCol w:w="109"/>
        <w:gridCol w:w="226"/>
        <w:gridCol w:w="1126"/>
        <w:gridCol w:w="109"/>
        <w:gridCol w:w="109"/>
        <w:gridCol w:w="109"/>
        <w:gridCol w:w="109"/>
        <w:gridCol w:w="301"/>
        <w:gridCol w:w="1066"/>
        <w:gridCol w:w="109"/>
        <w:gridCol w:w="109"/>
        <w:gridCol w:w="109"/>
        <w:gridCol w:w="109"/>
        <w:gridCol w:w="361"/>
        <w:gridCol w:w="1216"/>
        <w:gridCol w:w="109"/>
        <w:gridCol w:w="109"/>
        <w:gridCol w:w="109"/>
        <w:gridCol w:w="109"/>
        <w:gridCol w:w="226"/>
        <w:gridCol w:w="1216"/>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658" w:type="dxa"/>
            <w:tcBorders>
              <w:bottom w:val="single" w:sz="2" w:space="0" w:color="000000"/>
            </w:tcBorders>
            <w:shd w:fill="FFFFFF" w:val="cle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7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SCT Total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5"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Deductions </w:t>
              <w:br/>
              <w:t xml:space="preserve">from </w:t>
              <w:br/>
              <w:t xml:space="preserve">SCT Total </w:t>
              <w:br/>
              <w:t xml:space="preserve">(i)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795"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Additions </w:t>
              <w:br/>
              <w:t xml:space="preserve">to </w:t>
              <w:br/>
              <w:t xml:space="preserve">SCT Total </w:t>
              <w:br/>
              <w:t xml:space="preserve">(ii)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6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CAP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58" w:type="dxa"/>
            <w:tcBorders/>
            <w:shd w:fill="CCCCCC" w:val="clear"/>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26" w:type="dxa"/>
            <w:tcBorders/>
            <w:shd w:fill="CCCCCC" w:val="clear"/>
            <w:tcMar>
              <w:bottom w:w="0" w:type="dxa"/>
            </w:tcMar>
            <w:vAlign w:val="center"/>
          </w:tcPr>
          <w:p>
            <w:pPr>
              <w:pStyle w:val="TableContents"/>
              <w:bidi w:val="0"/>
              <w:spacing w:before="0" w:after="283"/>
              <w:jc w:val="right"/>
              <w:rPr/>
            </w:pPr>
            <w:r>
              <w:rPr/>
              <w:t>8,922,581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01"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7,952,685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61"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9,531,543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10,501,439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8"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6,101,031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5,499,988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(2,513,842)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(1,912,798)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58" w:type="dxa"/>
            <w:tcBorders/>
            <w:shd w:fill="CCCCCC" w:val="clear"/>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26" w:type="dxa"/>
            <w:tcBorders/>
            <w:shd w:fill="CCCCCC" w:val="clear"/>
            <w:tcMar>
              <w:bottom w:w="0" w:type="dxa"/>
            </w:tcMar>
            <w:vAlign w:val="center"/>
          </w:tcPr>
          <w:p>
            <w:pPr>
              <w:pStyle w:val="TableContents"/>
              <w:bidi w:val="0"/>
              <w:spacing w:before="0" w:after="283"/>
              <w:jc w:val="right"/>
              <w:rPr/>
            </w:pPr>
            <w:r>
              <w:rPr/>
              <w:t xml:space="preserve">5,426,105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01"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4,749,989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61"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555,167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1,231,283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8" w:type="dxa"/>
            <w:tcBorders/>
            <w:tcMar>
              <w:bottom w:w="0" w:type="dxa"/>
            </w:tcMar>
            <w:vAlign w:val="center"/>
          </w:tcPr>
          <w:p>
            <w:pPr>
              <w:pStyle w:val="TableContents"/>
              <w:bidi w:val="0"/>
              <w:spacing w:before="0" w:after="283"/>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4,419,653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3,906,234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10,458,383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10,971,802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equity-based awards granted each year, as shown in the Share Awards column of the Summary Compensation Table. </w:t>
      </w:r>
      <w:r>
        <mc:AlternateContent>
          <mc:Choice Requires="wps">
            <w:drawing>
              <wp:anchor behindDoc="0" distT="10160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Reflects the value of equity calculated in accordance with the SEC methodology for determining CAP for each year shown. The equity component of CAP is further detailed in the supplemental table below</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CEO Equity Component of CAP</w:t>
      </w:r>
      <w:r>
        <w:rPr>
          <w:rFonts w:ascii="Times New Roman;Times;serif" w:hAnsi="Times New Roman;Times;serif"/>
          <w:b/>
          <w:i w:val="false"/>
          <w:caps w:val="false"/>
          <w:smallCaps w:val="false"/>
          <w:color w:val="000000"/>
          <w:spacing w:val="4"/>
          <w:sz w:val="20"/>
        </w:rPr>
        <w:t xml:space="preserve"> </w:t>
      </w:r>
    </w:p>
    <w:tbl>
      <w:tblPr>
        <w:tblW w:w="12378" w:type="dxa"/>
        <w:jc w:val="left"/>
        <w:tblInd w:w="543" w:type="dxa"/>
        <w:tblLayout w:type="fixed"/>
        <w:tblCellMar>
          <w:top w:w="0" w:type="dxa"/>
          <w:left w:w="0" w:type="dxa"/>
          <w:bottom w:w="28" w:type="dxa"/>
          <w:right w:w="0" w:type="dxa"/>
        </w:tblCellMar>
      </w:tblPr>
      <w:tblGrid>
        <w:gridCol w:w="124"/>
        <w:gridCol w:w="598"/>
        <w:gridCol w:w="109"/>
        <w:gridCol w:w="109"/>
        <w:gridCol w:w="109"/>
        <w:gridCol w:w="226"/>
        <w:gridCol w:w="1186"/>
        <w:gridCol w:w="109"/>
        <w:gridCol w:w="109"/>
        <w:gridCol w:w="109"/>
        <w:gridCol w:w="109"/>
        <w:gridCol w:w="226"/>
        <w:gridCol w:w="1141"/>
        <w:gridCol w:w="109"/>
        <w:gridCol w:w="109"/>
        <w:gridCol w:w="109"/>
        <w:gridCol w:w="138"/>
        <w:gridCol w:w="287"/>
        <w:gridCol w:w="287"/>
        <w:gridCol w:w="141"/>
        <w:gridCol w:w="109"/>
        <w:gridCol w:w="109"/>
        <w:gridCol w:w="109"/>
        <w:gridCol w:w="226"/>
        <w:gridCol w:w="1066"/>
        <w:gridCol w:w="109"/>
        <w:gridCol w:w="109"/>
        <w:gridCol w:w="109"/>
        <w:gridCol w:w="109"/>
        <w:gridCol w:w="226"/>
        <w:gridCol w:w="886"/>
        <w:gridCol w:w="109"/>
        <w:gridCol w:w="109"/>
        <w:gridCol w:w="109"/>
        <w:gridCol w:w="233"/>
        <w:gridCol w:w="485"/>
        <w:gridCol w:w="485"/>
        <w:gridCol w:w="235"/>
        <w:gridCol w:w="109"/>
        <w:gridCol w:w="109"/>
        <w:gridCol w:w="109"/>
        <w:gridCol w:w="226"/>
        <w:gridCol w:w="1186"/>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598" w:type="dxa"/>
            <w:tcBorders>
              <w:bottom w:val="single" w:sz="2" w:space="0" w:color="000000"/>
            </w:tcBorders>
            <w:shd w:fill="FFFFFF" w:val="cle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3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Fair Value of </w:t>
              <w:br/>
              <w:t xml:space="preserve">Equity Awards </w:t>
              <w:br/>
              <w:t xml:space="preserve">Granted in the </w:t>
              <w:br/>
              <w:t xml:space="preserve">Year and </w:t>
              <w:br/>
              <w:t xml:space="preserve">Outstanding and </w:t>
              <w:br/>
              <w:t xml:space="preserve">Unvested as of </w:t>
              <w:br/>
              <w:t xml:space="preserve">Year End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5"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Year over Year </w:t>
              <w:br/>
              <w:t xml:space="preserve">Change in Fair </w:t>
              <w:br/>
              <w:t xml:space="preserve">Value of Equity </w:t>
              <w:br/>
              <w:t xml:space="preserve">Awards Granted </w:t>
              <w:br/>
              <w:t xml:space="preserve">in Prior Years </w:t>
              <w:br/>
              <w:t xml:space="preserve">and Outstanding </w:t>
              <w:br/>
              <w:t xml:space="preserve">and Unvested as </w:t>
              <w:br/>
              <w:t xml:space="preserve">of Year End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853"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Fair Value as of </w:t>
              <w:br/>
              <w:t xml:space="preserve">Vesting Date of </w:t>
              <w:br/>
              <w:t xml:space="preserve">Equity Awards </w:t>
              <w:br/>
              <w:t xml:space="preserve">Granted and </w:t>
              <w:br/>
              <w:t xml:space="preserve">Vested in the </w:t>
              <w:b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Year over Year </w:t>
              <w:br/>
              <w:t xml:space="preserve">Change in Fair </w:t>
              <w:br/>
              <w:t xml:space="preserve">Value of Equity </w:t>
              <w:br/>
              <w:t xml:space="preserve">Awards Granted </w:t>
              <w:br/>
              <w:t xml:space="preserve">in Prior Years </w:t>
              <w:br/>
              <w:t xml:space="preserve">that Vested in </w:t>
              <w:br/>
              <w:t xml:space="preserve">the 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33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Fair Value at the </w:t>
              <w:br/>
              <w:t xml:space="preserve">End of the Prior </w:t>
              <w:br/>
              <w:t xml:space="preserve">Year of Equity </w:t>
              <w:br/>
              <w:t xml:space="preserve">Awards that </w:t>
              <w:br/>
              <w:t xml:space="preserve">were Forfeited </w:t>
              <w:br/>
              <w:t xml:space="preserve">in the 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38"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Value of </w:t>
              <w:br/>
              <w:t xml:space="preserve">Dividends or </w:t>
              <w:br/>
              <w:t xml:space="preserve">other Earnings </w:t>
              <w:br/>
              <w:t xml:space="preserve">Paid on Equity </w:t>
              <w:br/>
              <w:t xml:space="preserve">Awards not </w:t>
              <w:br/>
              <w:t xml:space="preserve">Otherwise </w:t>
              <w:br/>
              <w:t xml:space="preserve">Reflected in Fair </w:t>
              <w:br/>
              <w:t xml:space="preserve">Value or Total </w:t>
              <w:br/>
              <w:t xml:space="preserve">Compensation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30" w:type="dxa"/>
            <w:gridSpan w:val="4"/>
            <w:tcBorders>
              <w:bottom w:val="single" w:sz="2" w:space="0" w:color="000000"/>
            </w:tcBorders>
            <w:shd w:fill="FFFFFF" w:val="clear"/>
            <w:vAlign w:val="center"/>
          </w:tcPr>
          <w:p>
            <w:pPr>
              <w:pStyle w:val="TableContents"/>
              <w:bidi w:val="0"/>
              <w:spacing w:before="0" w:after="0"/>
              <w:jc w:val="center"/>
              <w:rPr>
                <w:spacing w:val="-3"/>
              </w:rPr>
            </w:pPr>
            <w:r>
              <w:rPr>
                <w:spacing w:val="-3"/>
              </w:rPr>
              <w:t xml:space="preserve">Total </w:t>
              <w:br/>
              <w:t xml:space="preserve">Equity </w:t>
              <w:br/>
              <w:t xml:space="preserve">Award </w:t>
              <w:br/>
              <w:t xml:space="preserve">Adjustments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11,510,186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41" w:type="dxa"/>
            <w:tcBorders/>
            <w:shd w:fill="CCCCCC" w:val="clear"/>
            <w:tcMar>
              <w:bottom w:w="0" w:type="dxa"/>
            </w:tcMar>
            <w:vAlign w:val="center"/>
          </w:tcPr>
          <w:p>
            <w:pPr>
              <w:pStyle w:val="TableContents"/>
              <w:bidi w:val="0"/>
              <w:spacing w:before="0" w:after="283"/>
              <w:jc w:val="right"/>
              <w:rPr/>
            </w:pPr>
            <w:r>
              <w:rPr/>
              <w:t>(1,057,920)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8" w:type="dxa"/>
            <w:tcBorders/>
            <w:shd w:fill="CCCCCC" w:val="clear"/>
            <w:tcMar>
              <w:bottom w:w="0" w:type="dxa"/>
            </w:tcMar>
            <w:vAlign w:val="center"/>
          </w:tcPr>
          <w:p>
            <w:pPr>
              <w:pStyle w:val="TableContents"/>
              <w:bidi w:val="0"/>
              <w:spacing w:before="0" w:after="283"/>
              <w:jc w:val="left"/>
              <w:rPr/>
            </w:pPr>
            <w:r>
              <w:rPr/>
              <w:t>​</w:t>
            </w:r>
          </w:p>
        </w:tc>
        <w:tc>
          <w:tcPr>
            <w:tcW w:w="287" w:type="dxa"/>
            <w:tcBorders/>
            <w:shd w:fill="CCCCCC" w:val="clear"/>
            <w:tcMar>
              <w:bottom w:w="0" w:type="dxa"/>
            </w:tcMar>
            <w:vAlign w:val="center"/>
          </w:tcPr>
          <w:p>
            <w:pPr>
              <w:pStyle w:val="TableContents"/>
              <w:bidi w:val="0"/>
              <w:spacing w:before="0" w:after="283"/>
              <w:jc w:val="right"/>
              <w:rPr/>
            </w:pPr>
            <w:r>
              <w:rPr/>
              <w:t>$</w:t>
            </w:r>
          </w:p>
        </w:tc>
        <w:tc>
          <w:tcPr>
            <w:tcW w:w="287" w:type="dxa"/>
            <w:tcBorders/>
            <w:shd w:fill="CCCCCC" w:val="clear"/>
            <w:tcMar>
              <w:bottom w:w="0" w:type="dxa"/>
            </w:tcMar>
            <w:vAlign w:val="center"/>
          </w:tcPr>
          <w:p>
            <w:pPr>
              <w:pStyle w:val="TableContents"/>
              <w:bidi w:val="0"/>
              <w:spacing w:before="0" w:after="283"/>
              <w:jc w:val="right"/>
              <w:rPr/>
            </w:pPr>
            <w:r>
              <w:rPr/>
              <w:t>0</w:t>
            </w:r>
          </w:p>
        </w:tc>
        <w:tc>
          <w:tcPr>
            <w:tcW w:w="14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(14,004)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906,720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33" w:type="dxa"/>
            <w:tcBorders/>
            <w:shd w:fill="CCCCCC" w:val="clear"/>
            <w:tcMar>
              <w:bottom w:w="0" w:type="dxa"/>
            </w:tcMar>
            <w:vAlign w:val="center"/>
          </w:tcPr>
          <w:p>
            <w:pPr>
              <w:pStyle w:val="TableContents"/>
              <w:bidi w:val="0"/>
              <w:spacing w:before="0" w:after="283"/>
              <w:jc w:val="left"/>
              <w:rPr/>
            </w:pPr>
            <w:r>
              <w:rPr/>
              <w:t>​</w:t>
            </w:r>
          </w:p>
        </w:tc>
        <w:tc>
          <w:tcPr>
            <w:tcW w:w="485" w:type="dxa"/>
            <w:tcBorders/>
            <w:shd w:fill="CCCCCC" w:val="clear"/>
            <w:tcMar>
              <w:bottom w:w="0" w:type="dxa"/>
            </w:tcMar>
            <w:vAlign w:val="center"/>
          </w:tcPr>
          <w:p>
            <w:pPr>
              <w:pStyle w:val="TableContents"/>
              <w:bidi w:val="0"/>
              <w:spacing w:before="0" w:after="283"/>
              <w:jc w:val="right"/>
              <w:rPr/>
            </w:pPr>
            <w:r>
              <w:rPr/>
              <w:t>$</w:t>
            </w:r>
          </w:p>
        </w:tc>
        <w:tc>
          <w:tcPr>
            <w:tcW w:w="485" w:type="dxa"/>
            <w:tcBorders/>
            <w:shd w:fill="CCCCCC" w:val="clear"/>
            <w:tcMar>
              <w:bottom w:w="0" w:type="dxa"/>
            </w:tcMar>
            <w:vAlign w:val="center"/>
          </w:tcPr>
          <w:p>
            <w:pPr>
              <w:pStyle w:val="TableContents"/>
              <w:bidi w:val="0"/>
              <w:spacing w:before="0" w:after="283"/>
              <w:jc w:val="right"/>
              <w:rPr/>
            </w:pPr>
            <w:r>
              <w:rPr/>
              <w:t>0</w:t>
            </w:r>
          </w:p>
        </w:tc>
        <w:tc>
          <w:tcPr>
            <w:tcW w:w="23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9,531,543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2,646,438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(4,334,653)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287" w:type="dxa"/>
            <w:tcBorders/>
            <w:tcMar>
              <w:bottom w:w="0" w:type="dxa"/>
            </w:tcMar>
            <w:vAlign w:val="center"/>
          </w:tcPr>
          <w:p>
            <w:pPr>
              <w:pStyle w:val="TableContents"/>
              <w:bidi w:val="0"/>
              <w:spacing w:before="0" w:after="283"/>
              <w:jc w:val="right"/>
              <w:rPr/>
            </w:pPr>
            <w:r>
              <w:rPr/>
              <w:t>0</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(825,626)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(2,513,842)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3,903,559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41" w:type="dxa"/>
            <w:tcBorders/>
            <w:shd w:fill="CCCCCC" w:val="clear"/>
            <w:tcMar>
              <w:bottom w:w="0" w:type="dxa"/>
            </w:tcMar>
            <w:vAlign w:val="center"/>
          </w:tcPr>
          <w:p>
            <w:pPr>
              <w:pStyle w:val="TableContents"/>
              <w:bidi w:val="0"/>
              <w:spacing w:before="0" w:after="283"/>
              <w:jc w:val="right"/>
              <w:rPr/>
            </w:pPr>
            <w:r>
              <w:rPr/>
              <w:t>(2,884,097)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8" w:type="dxa"/>
            <w:tcBorders/>
            <w:shd w:fill="CCCCCC" w:val="clear"/>
            <w:tcMar>
              <w:bottom w:w="0" w:type="dxa"/>
            </w:tcMar>
            <w:vAlign w:val="center"/>
          </w:tcPr>
          <w:p>
            <w:pPr>
              <w:pStyle w:val="TableContents"/>
              <w:bidi w:val="0"/>
              <w:spacing w:before="0" w:after="283"/>
              <w:jc w:val="left"/>
              <w:rPr/>
            </w:pPr>
            <w:r>
              <w:rPr/>
              <w:t>​</w:t>
            </w:r>
          </w:p>
        </w:tc>
        <w:tc>
          <w:tcPr>
            <w:tcW w:w="287" w:type="dxa"/>
            <w:tcBorders/>
            <w:shd w:fill="CCCCCC" w:val="clear"/>
            <w:tcMar>
              <w:bottom w:w="0" w:type="dxa"/>
            </w:tcMar>
            <w:vAlign w:val="center"/>
          </w:tcPr>
          <w:p>
            <w:pPr>
              <w:pStyle w:val="TableContents"/>
              <w:bidi w:val="0"/>
              <w:spacing w:before="0" w:after="283"/>
              <w:jc w:val="right"/>
              <w:rPr/>
            </w:pPr>
            <w:r>
              <w:rPr/>
              <w:t>$</w:t>
            </w:r>
          </w:p>
        </w:tc>
        <w:tc>
          <w:tcPr>
            <w:tcW w:w="287" w:type="dxa"/>
            <w:tcBorders/>
            <w:shd w:fill="CCCCCC" w:val="clear"/>
            <w:tcMar>
              <w:bottom w:w="0" w:type="dxa"/>
            </w:tcMar>
            <w:vAlign w:val="center"/>
          </w:tcPr>
          <w:p>
            <w:pPr>
              <w:pStyle w:val="TableContents"/>
              <w:bidi w:val="0"/>
              <w:spacing w:before="0" w:after="283"/>
              <w:jc w:val="right"/>
              <w:rPr/>
            </w:pPr>
            <w:r>
              <w:rPr/>
              <w:t>0</w:t>
            </w:r>
          </w:p>
        </w:tc>
        <w:tc>
          <w:tcPr>
            <w:tcW w:w="14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(464,295)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33" w:type="dxa"/>
            <w:tcBorders/>
            <w:shd w:fill="CCCCCC" w:val="clear"/>
            <w:tcMar>
              <w:bottom w:w="0" w:type="dxa"/>
            </w:tcMar>
            <w:vAlign w:val="center"/>
          </w:tcPr>
          <w:p>
            <w:pPr>
              <w:pStyle w:val="TableContents"/>
              <w:bidi w:val="0"/>
              <w:spacing w:before="0" w:after="283"/>
              <w:jc w:val="left"/>
              <w:rPr/>
            </w:pPr>
            <w:r>
              <w:rPr/>
              <w:t>​</w:t>
            </w:r>
          </w:p>
        </w:tc>
        <w:tc>
          <w:tcPr>
            <w:tcW w:w="485" w:type="dxa"/>
            <w:tcBorders/>
            <w:shd w:fill="CCCCCC" w:val="clear"/>
            <w:tcMar>
              <w:bottom w:w="0" w:type="dxa"/>
            </w:tcMar>
            <w:vAlign w:val="center"/>
          </w:tcPr>
          <w:p>
            <w:pPr>
              <w:pStyle w:val="TableContents"/>
              <w:bidi w:val="0"/>
              <w:spacing w:before="0" w:after="283"/>
              <w:jc w:val="right"/>
              <w:rPr/>
            </w:pPr>
            <w:r>
              <w:rPr/>
              <w:t>$</w:t>
            </w:r>
          </w:p>
        </w:tc>
        <w:tc>
          <w:tcPr>
            <w:tcW w:w="485" w:type="dxa"/>
            <w:tcBorders/>
            <w:shd w:fill="CCCCCC" w:val="clear"/>
            <w:tcMar>
              <w:bottom w:w="0" w:type="dxa"/>
            </w:tcMar>
            <w:vAlign w:val="center"/>
          </w:tcPr>
          <w:p>
            <w:pPr>
              <w:pStyle w:val="TableContents"/>
              <w:bidi w:val="0"/>
              <w:spacing w:before="0" w:after="283"/>
              <w:jc w:val="right"/>
              <w:rPr/>
            </w:pPr>
            <w:r>
              <w:rPr/>
              <w:t>0</w:t>
            </w:r>
          </w:p>
        </w:tc>
        <w:tc>
          <w:tcPr>
            <w:tcW w:w="23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555,167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6,127,426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2,966,889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287" w:type="dxa"/>
            <w:tcBorders/>
            <w:tcMar>
              <w:bottom w:w="0" w:type="dxa"/>
            </w:tcMar>
            <w:vAlign w:val="center"/>
          </w:tcPr>
          <w:p>
            <w:pPr>
              <w:pStyle w:val="TableContents"/>
              <w:bidi w:val="0"/>
              <w:spacing w:before="0" w:after="283"/>
              <w:jc w:val="right"/>
              <w:rPr/>
            </w:pPr>
            <w:r>
              <w:rPr/>
              <w:t>0</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1,364,068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10,458,383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in column (e) represent the average amount of CAP to the non-CEO named executive officers (“Non-CEO NEOs”) as a group, as computed in accordance with Item 402(v) of Regulation S-K. The dollar amounts do not reflect the actual average amount of compensation earned by or paid to the Non-CEO NEOs during the applicable year. The Non-CEO NEOs reflected in columns (d) and (e) consist of the following individuals for each of the years shown: (i) Shaler Alias, Timothy J. Murphy, Tyler B. Dempsey and Michael F. Jackson for 2020; (ii) Shaler Alias, Timothy J. Murphy, Tyler B. Dempsey and Jacob H. Moore for 2021; (iii) Shaler Alias, Timothy J. Murphy, Tyler B. Dempsey, David Guthrie and Michael F. Jackson for 2022; and (iv) Timothy J. Murphy, Tyler B. Dempsey, David Guthrie and Jacob H. Moore for 2023. To calculate CAP to our Non-CEO NEOs for each of the years shown, the following amounts were deducted from and added to SCT total compensation.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54000" cy="350520"/>
                <wp:effectExtent l="0" t="0" r="0" b="0"/>
                <wp:wrapSquare wrapText="right"/>
                <wp:docPr id="16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Average Non-CEO NEOs SCT Total to CAP Reconciliation:</w:t>
      </w:r>
      <w:r>
        <w:rPr>
          <w:rFonts w:ascii="Times New Roman;Times;serif" w:hAnsi="Times New Roman;Times;serif"/>
          <w:b/>
          <w:i w:val="false"/>
          <w:caps w:val="false"/>
          <w:smallCaps w:val="false"/>
          <w:color w:val="000000"/>
          <w:spacing w:val="4"/>
          <w:sz w:val="20"/>
        </w:rPr>
        <w:t xml:space="preserve"> </w:t>
      </w:r>
    </w:p>
    <w:tbl>
      <w:tblPr>
        <w:tblW w:w="8268" w:type="dxa"/>
        <w:jc w:val="left"/>
        <w:tblInd w:w="1393" w:type="dxa"/>
        <w:tblLayout w:type="fixed"/>
        <w:tblCellMar>
          <w:top w:w="0" w:type="dxa"/>
          <w:left w:w="0" w:type="dxa"/>
          <w:bottom w:w="28" w:type="dxa"/>
          <w:right w:w="0" w:type="dxa"/>
        </w:tblCellMar>
      </w:tblPr>
      <w:tblGrid>
        <w:gridCol w:w="124"/>
        <w:gridCol w:w="658"/>
        <w:gridCol w:w="109"/>
        <w:gridCol w:w="109"/>
        <w:gridCol w:w="109"/>
        <w:gridCol w:w="226"/>
        <w:gridCol w:w="1126"/>
        <w:gridCol w:w="109"/>
        <w:gridCol w:w="109"/>
        <w:gridCol w:w="109"/>
        <w:gridCol w:w="109"/>
        <w:gridCol w:w="301"/>
        <w:gridCol w:w="1066"/>
        <w:gridCol w:w="109"/>
        <w:gridCol w:w="109"/>
        <w:gridCol w:w="109"/>
        <w:gridCol w:w="109"/>
        <w:gridCol w:w="361"/>
        <w:gridCol w:w="1216"/>
        <w:gridCol w:w="109"/>
        <w:gridCol w:w="109"/>
        <w:gridCol w:w="109"/>
        <w:gridCol w:w="109"/>
        <w:gridCol w:w="226"/>
        <w:gridCol w:w="1066"/>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658"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7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SCT Total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Deductions </w:t>
              <w:br/>
              <w:t xml:space="preserve">from </w:t>
              <w:br/>
              <w:t xml:space="preserve">SCT Total </w:t>
              <w:br/>
              <w:t xml:space="preserve">(i)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79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Additions </w:t>
              <w:br/>
              <w:t xml:space="preserve">to </w:t>
              <w:br/>
              <w:t xml:space="preserve">SCT Total </w:t>
              <w:br/>
              <w:t xml:space="preserve">(ii)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CAP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58" w:type="dxa"/>
            <w:tcBorders/>
            <w:shd w:fill="CCCCCC" w:val="clear"/>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26" w:type="dxa"/>
            <w:tcBorders/>
            <w:shd w:fill="CCCCCC" w:val="clear"/>
            <w:tcMar>
              <w:bottom w:w="0" w:type="dxa"/>
            </w:tcMar>
            <w:vAlign w:val="center"/>
          </w:tcPr>
          <w:p>
            <w:pPr>
              <w:pStyle w:val="TableContents"/>
              <w:bidi w:val="0"/>
              <w:spacing w:before="0" w:after="283"/>
              <w:jc w:val="right"/>
              <w:rPr/>
            </w:pPr>
            <w:r>
              <w:rPr/>
              <w:t>2,688,086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01"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1,418,022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61"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2,771,272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4,041,336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8"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1,432,824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1,034,808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(1,264,797)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(866,781)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58" w:type="dxa"/>
            <w:tcBorders/>
            <w:shd w:fill="CCCCCC" w:val="clear"/>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26" w:type="dxa"/>
            <w:tcBorders/>
            <w:shd w:fill="CCCCCC" w:val="clear"/>
            <w:tcMar>
              <w:bottom w:w="0" w:type="dxa"/>
            </w:tcMar>
            <w:vAlign w:val="center"/>
          </w:tcPr>
          <w:p>
            <w:pPr>
              <w:pStyle w:val="TableContents"/>
              <w:bidi w:val="0"/>
              <w:spacing w:before="0" w:after="283"/>
              <w:jc w:val="right"/>
              <w:rPr/>
            </w:pPr>
            <w:r>
              <w:rPr/>
              <w:t xml:space="preserve">1,693,926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01"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954,815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61" w:type="dxa"/>
            <w:tcBorders/>
            <w:shd w:fill="CCCCCC" w:val="clear"/>
            <w:tcMar>
              <w:bottom w:w="0" w:type="dxa"/>
            </w:tcMar>
            <w:vAlign w:val="center"/>
          </w:tcPr>
          <w:p>
            <w:pPr>
              <w:pStyle w:val="TableContents"/>
              <w:bidi w:val="0"/>
              <w:spacing w:before="0" w:after="283"/>
              <w:jc w:val="right"/>
              <w:rPr/>
            </w:pPr>
            <w:r>
              <w:rPr/>
              <w:t>+$</w:t>
            </w:r>
          </w:p>
        </w:tc>
        <w:tc>
          <w:tcPr>
            <w:tcW w:w="1216" w:type="dxa"/>
            <w:tcBorders/>
            <w:shd w:fill="CCCCCC" w:val="clear"/>
            <w:tcMar>
              <w:bottom w:w="0" w:type="dxa"/>
            </w:tcMar>
            <w:vAlign w:val="center"/>
          </w:tcPr>
          <w:p>
            <w:pPr>
              <w:pStyle w:val="TableContents"/>
              <w:bidi w:val="0"/>
              <w:spacing w:before="0" w:after="283"/>
              <w:jc w:val="right"/>
              <w:rPr/>
            </w:pPr>
            <w:r>
              <w:rPr/>
              <w:t>(272,054)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467,057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8" w:type="dxa"/>
            <w:tcBorders/>
            <w:tcMar>
              <w:bottom w:w="0" w:type="dxa"/>
            </w:tcMar>
            <w:vAlign w:val="center"/>
          </w:tcPr>
          <w:p>
            <w:pPr>
              <w:pStyle w:val="TableContents"/>
              <w:bidi w:val="0"/>
              <w:spacing w:before="0" w:after="283"/>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1,370,738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887,812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3,226,498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3,709,423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equity-based awards granted each year, as shown in the Share Awards column of the Summary Compensation Table. </w:t>
      </w:r>
      <w:r>
        <mc:AlternateContent>
          <mc:Choice Requires="wps">
            <w:drawing>
              <wp:anchor behindDoc="0" distT="10160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calculated in accordance with the SEC methodology for determining CAP for each year shown. The equity component of CAP is further detailed in the supplemental table below </w:t>
      </w:r>
      <w:r>
        <mc:AlternateContent>
          <mc:Choice Requires="wps">
            <w:drawing>
              <wp:anchor behindDoc="0" distT="5080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Average Non-CEO NEOs Equity Component of CAP:</w:t>
      </w:r>
      <w:r>
        <w:rPr>
          <w:rFonts w:ascii="Times New Roman;Times;serif" w:hAnsi="Times New Roman;Times;serif"/>
          <w:b/>
          <w:i w:val="false"/>
          <w:caps w:val="false"/>
          <w:smallCaps w:val="false"/>
          <w:color w:val="000000"/>
          <w:spacing w:val="4"/>
          <w:sz w:val="20"/>
        </w:rPr>
        <w:t xml:space="preserve"> </w:t>
      </w:r>
    </w:p>
    <w:tbl>
      <w:tblPr>
        <w:tblW w:w="12510" w:type="dxa"/>
        <w:jc w:val="left"/>
        <w:tblInd w:w="543" w:type="dxa"/>
        <w:tblLayout w:type="fixed"/>
        <w:tblCellMar>
          <w:top w:w="0" w:type="dxa"/>
          <w:left w:w="0" w:type="dxa"/>
          <w:bottom w:w="28" w:type="dxa"/>
          <w:right w:w="0" w:type="dxa"/>
        </w:tblCellMar>
      </w:tblPr>
      <w:tblGrid>
        <w:gridCol w:w="124"/>
        <w:gridCol w:w="598"/>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961"/>
        <w:gridCol w:w="109"/>
        <w:gridCol w:w="109"/>
        <w:gridCol w:w="109"/>
        <w:gridCol w:w="109"/>
        <w:gridCol w:w="226"/>
        <w:gridCol w:w="886"/>
        <w:gridCol w:w="109"/>
        <w:gridCol w:w="109"/>
        <w:gridCol w:w="109"/>
        <w:gridCol w:w="233"/>
        <w:gridCol w:w="485"/>
        <w:gridCol w:w="485"/>
        <w:gridCol w:w="235"/>
        <w:gridCol w:w="109"/>
        <w:gridCol w:w="109"/>
        <w:gridCol w:w="109"/>
        <w:gridCol w:w="226"/>
        <w:gridCol w:w="1141"/>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598"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Fair Value of </w:t>
              <w:br/>
              <w:t xml:space="preserve">Equity Awards </w:t>
              <w:br/>
              <w:t xml:space="preserve">Granted in the </w:t>
              <w:br/>
              <w:t xml:space="preserve">Year and </w:t>
              <w:br/>
              <w:t xml:space="preserve">Outstanding and </w:t>
              <w:br/>
              <w:t xml:space="preserve">Unvested as of </w:t>
              <w:br/>
              <w:t xml:space="preserve">Year End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Year over Year </w:t>
              <w:br/>
              <w:t xml:space="preserve">Change in Fair </w:t>
              <w:br/>
              <w:t xml:space="preserve">Value of Equity </w:t>
              <w:br/>
              <w:t xml:space="preserve">Awards Granted </w:t>
              <w:br/>
              <w:t xml:space="preserve">in Prior Years </w:t>
              <w:br/>
              <w:t xml:space="preserve">and Outstanding </w:t>
              <w:br/>
              <w:t xml:space="preserve">and Unvested as </w:t>
              <w:br/>
              <w:t xml:space="preserve">of Year End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33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Fair Value as of </w:t>
              <w:br/>
              <w:t xml:space="preserve">Vesting Date of </w:t>
              <w:br/>
              <w:t xml:space="preserve">Equity Awards </w:t>
              <w:br/>
              <w:t xml:space="preserve">Granted and </w:t>
              <w:br/>
              <w:t xml:space="preserve">Vested in the </w:t>
              <w:br/>
              <w:t xml:space="preserve">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0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Year over Year </w:t>
              <w:br/>
              <w:t xml:space="preserve">Change in Fair </w:t>
              <w:br/>
              <w:t xml:space="preserve">Value of Equity </w:t>
              <w:br/>
              <w:t xml:space="preserve">Awards Granted </w:t>
              <w:br/>
              <w:t xml:space="preserve">in Prior Years </w:t>
              <w:br/>
              <w:t xml:space="preserve">that Vested in </w:t>
              <w:br/>
              <w:t xml:space="preserve">the 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33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Fair Value at the </w:t>
              <w:br/>
              <w:t xml:space="preserve">End of the Prior </w:t>
              <w:br/>
              <w:t xml:space="preserve">Year of Equity </w:t>
              <w:br/>
              <w:t xml:space="preserve">Awards that </w:t>
              <w:br/>
              <w:t xml:space="preserve">were Forfeited </w:t>
              <w:br/>
              <w:t xml:space="preserve">in the Year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38"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Value of </w:t>
              <w:br/>
              <w:t xml:space="preserve">Dividends or </w:t>
              <w:br/>
              <w:t xml:space="preserve">other Earnings </w:t>
              <w:br/>
              <w:t xml:space="preserve">Paid on Equity </w:t>
              <w:br/>
              <w:t xml:space="preserve">Awards not </w:t>
              <w:br/>
              <w:t xml:space="preserve">Otherwise </w:t>
              <w:br/>
              <w:t xml:space="preserve">Reflected in Fair </w:t>
              <w:br/>
              <w:t xml:space="preserve">Value or Total </w:t>
              <w:br/>
              <w:t xml:space="preserve">Compensation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Total </w:t>
              <w:br/>
              <w:t xml:space="preserve">Equity </w:t>
              <w:br/>
              <w:t xml:space="preserve">Award </w:t>
              <w:br/>
              <w:t xml:space="preserve">Adjustments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3,083,899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(166,538)</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961" w:type="dxa"/>
            <w:tcBorders/>
            <w:shd w:fill="CCCCCC" w:val="clear"/>
            <w:tcMar>
              <w:bottom w:w="0" w:type="dxa"/>
            </w:tcMar>
            <w:vAlign w:val="center"/>
          </w:tcPr>
          <w:p>
            <w:pPr>
              <w:pStyle w:val="TableContents"/>
              <w:bidi w:val="0"/>
              <w:spacing w:before="0" w:after="283"/>
              <w:jc w:val="right"/>
              <w:rPr/>
            </w:pPr>
            <w:r>
              <w:rPr/>
              <w:t>(3,906)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142,183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33" w:type="dxa"/>
            <w:tcBorders/>
            <w:shd w:fill="CCCCCC" w:val="clear"/>
            <w:tcMar>
              <w:bottom w:w="0" w:type="dxa"/>
            </w:tcMar>
            <w:vAlign w:val="center"/>
          </w:tcPr>
          <w:p>
            <w:pPr>
              <w:pStyle w:val="TableContents"/>
              <w:bidi w:val="0"/>
              <w:spacing w:before="0" w:after="283"/>
              <w:jc w:val="left"/>
              <w:rPr/>
            </w:pPr>
            <w:r>
              <w:rPr/>
              <w:t>​</w:t>
            </w:r>
          </w:p>
        </w:tc>
        <w:tc>
          <w:tcPr>
            <w:tcW w:w="485" w:type="dxa"/>
            <w:tcBorders/>
            <w:shd w:fill="CCCCCC" w:val="clear"/>
            <w:tcMar>
              <w:bottom w:w="0" w:type="dxa"/>
            </w:tcMar>
            <w:vAlign w:val="center"/>
          </w:tcPr>
          <w:p>
            <w:pPr>
              <w:pStyle w:val="TableContents"/>
              <w:bidi w:val="0"/>
              <w:spacing w:before="0" w:after="283"/>
              <w:jc w:val="right"/>
              <w:rPr/>
            </w:pPr>
            <w:r>
              <w:rPr/>
              <w:t>$</w:t>
            </w:r>
          </w:p>
        </w:tc>
        <w:tc>
          <w:tcPr>
            <w:tcW w:w="485" w:type="dxa"/>
            <w:tcBorders/>
            <w:shd w:fill="CCCCCC" w:val="clear"/>
            <w:tcMar>
              <w:bottom w:w="0" w:type="dxa"/>
            </w:tcMar>
            <w:vAlign w:val="center"/>
          </w:tcPr>
          <w:p>
            <w:pPr>
              <w:pStyle w:val="TableContents"/>
              <w:bidi w:val="0"/>
              <w:spacing w:before="0" w:after="283"/>
              <w:jc w:val="right"/>
              <w:rPr/>
            </w:pPr>
            <w:r>
              <w:rPr/>
              <w:t>0</w:t>
            </w:r>
          </w:p>
        </w:tc>
        <w:tc>
          <w:tcPr>
            <w:tcW w:w="23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41" w:type="dxa"/>
            <w:tcBorders/>
            <w:shd w:fill="CCCCCC" w:val="clear"/>
            <w:tcMar>
              <w:bottom w:w="0" w:type="dxa"/>
            </w:tcMar>
            <w:vAlign w:val="center"/>
          </w:tcPr>
          <w:p>
            <w:pPr>
              <w:pStyle w:val="TableContents"/>
              <w:bidi w:val="0"/>
              <w:spacing w:before="0" w:after="283"/>
              <w:jc w:val="right"/>
              <w:rPr/>
            </w:pPr>
            <w:r>
              <w:rPr/>
              <w:t>2,771,272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443,280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(977,999)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118,182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(401,234)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447,026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(1,264,797)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98" w:type="dxa"/>
            <w:tcBorders/>
            <w:shd w:fill="CCCCCC" w:val="clear"/>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784,670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(881,485)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961" w:type="dxa"/>
            <w:tcBorders/>
            <w:shd w:fill="CCCCCC" w:val="clear"/>
            <w:tcMar>
              <w:bottom w:w="0" w:type="dxa"/>
            </w:tcMar>
            <w:vAlign w:val="center"/>
          </w:tcPr>
          <w:p>
            <w:pPr>
              <w:pStyle w:val="TableContents"/>
              <w:bidi w:val="0"/>
              <w:spacing w:before="0" w:after="283"/>
              <w:jc w:val="right"/>
              <w:rPr/>
            </w:pPr>
            <w:r>
              <w:rPr/>
              <w:t>(175,239)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33" w:type="dxa"/>
            <w:tcBorders/>
            <w:shd w:fill="CCCCCC" w:val="clear"/>
            <w:tcMar>
              <w:bottom w:w="0" w:type="dxa"/>
            </w:tcMar>
            <w:vAlign w:val="center"/>
          </w:tcPr>
          <w:p>
            <w:pPr>
              <w:pStyle w:val="TableContents"/>
              <w:bidi w:val="0"/>
              <w:spacing w:before="0" w:after="283"/>
              <w:jc w:val="left"/>
              <w:rPr/>
            </w:pPr>
            <w:r>
              <w:rPr/>
              <w:t>​</w:t>
            </w:r>
          </w:p>
        </w:tc>
        <w:tc>
          <w:tcPr>
            <w:tcW w:w="485" w:type="dxa"/>
            <w:tcBorders/>
            <w:shd w:fill="CCCCCC" w:val="clear"/>
            <w:tcMar>
              <w:bottom w:w="0" w:type="dxa"/>
            </w:tcMar>
            <w:vAlign w:val="center"/>
          </w:tcPr>
          <w:p>
            <w:pPr>
              <w:pStyle w:val="TableContents"/>
              <w:bidi w:val="0"/>
              <w:spacing w:before="0" w:after="283"/>
              <w:jc w:val="right"/>
              <w:rPr/>
            </w:pPr>
            <w:r>
              <w:rPr/>
              <w:t>$</w:t>
            </w:r>
          </w:p>
        </w:tc>
        <w:tc>
          <w:tcPr>
            <w:tcW w:w="485" w:type="dxa"/>
            <w:tcBorders/>
            <w:shd w:fill="CCCCCC" w:val="clear"/>
            <w:tcMar>
              <w:bottom w:w="0" w:type="dxa"/>
            </w:tcMar>
            <w:vAlign w:val="center"/>
          </w:tcPr>
          <w:p>
            <w:pPr>
              <w:pStyle w:val="TableContents"/>
              <w:bidi w:val="0"/>
              <w:spacing w:before="0" w:after="283"/>
              <w:jc w:val="right"/>
              <w:rPr/>
            </w:pPr>
            <w:r>
              <w:rPr/>
              <w:t>0</w:t>
            </w:r>
          </w:p>
        </w:tc>
        <w:tc>
          <w:tcPr>
            <w:tcW w:w="23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141" w:type="dxa"/>
            <w:tcBorders/>
            <w:shd w:fill="CCCCCC" w:val="clear"/>
            <w:tcMar>
              <w:bottom w:w="0" w:type="dxa"/>
            </w:tcMar>
            <w:vAlign w:val="center"/>
          </w:tcPr>
          <w:p>
            <w:pPr>
              <w:pStyle w:val="TableContents"/>
              <w:bidi w:val="0"/>
              <w:spacing w:before="0" w:after="283"/>
              <w:jc w:val="right"/>
              <w:rPr/>
            </w:pPr>
            <w:r>
              <w:rPr/>
              <w:t>(272,054)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283"/>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1,392,647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1,277,679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556,172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3,226,498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078"/>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TSR is calculated by dividing the sum of the cumulative amount of dividends for the measurement period, assuming reinvestment of all dividends, if any, and the difference between the Company’s share price at the end and the beginning of the measurement period by the Company’s share price at the beginning of the measurement period.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254000" cy="350520"/>
                <wp:effectExtent l="0" t="0" r="0" b="0"/>
                <wp:wrapSquare wrapText="right"/>
                <wp:docPr id="17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weighted peer group TSR, weighted according to the respective companies’ stock market capitalization at the beginning of each period for which a return is indicated. The peer group used for this purpose is the constituent members of the Standard and Poor’s (“S&amp;P”) 500 Index and S&amp;P Information Technology Index. </w:t>
      </w:r>
      <w:r>
        <mc:AlternateContent>
          <mc:Choice Requires="wps">
            <w:drawing>
              <wp:anchor behindDoc="0" distT="6604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represent the amount of net income reflected in the Company’s audited financial statements for the applicable year. </w:t>
      </w:r>
      <w:r>
        <mc:AlternateContent>
          <mc:Choice Requires="wps">
            <w:drawing>
              <wp:anchor behindDoc="0" distT="6604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2"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loss on extinguishment of debt, loss on termination of interest rate hedge, non-cash change in fair value of contingent consideration, non-cash change in fair value of assets and liabilities, share-based compensation charges, transaction expenses, restructuring and other strategic initiative costs and other non-recurring charges. Please refer to p. 46 of our Annual Report on Form 10-K for reconciliations to the closest GAAP measure.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6604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3"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0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Actually Paid versus Cumulative TSR </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 illustrates the relationship between the Company’s cumulative TSR and CAP. As described in more detail in the section “Executive Compensation — Compensation Discussion and Analysis” the Company targets that a significant amount of the value of total annual compensation awarded to the NEOs would be comprised of equity awards.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676900" cy="3048000"/>
            <wp:effectExtent l="0" t="0" r="0" b="0"/>
            <wp:docPr id="17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2" descr=""/>
                    <pic:cNvPicPr>
                      <a:picLocks noChangeAspect="1" noChangeArrowheads="1"/>
                    </pic:cNvPicPr>
                  </pic:nvPicPr>
                  <pic:blipFill>
                    <a:blip r:embed="rId33"/>
                    <a:stretch>
                      <a:fillRect/>
                    </a:stretch>
                  </pic:blipFill>
                  <pic:spPr bwMode="auto">
                    <a:xfrm>
                      <a:off x="0" y="0"/>
                      <a:ext cx="5676900" cy="3048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Actually Paid versus Net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 illustrates the relationship between net income and CAP. The Company does not use net income as a performance measure in its overall executive compensation program.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676900" cy="3048000"/>
            <wp:effectExtent l="0" t="0" r="0" b="0"/>
            <wp:docPr id="17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3" descr=""/>
                    <pic:cNvPicPr>
                      <a:picLocks noChangeAspect="1" noChangeArrowheads="1"/>
                    </pic:cNvPicPr>
                  </pic:nvPicPr>
                  <pic:blipFill>
                    <a:blip r:embed="rId34"/>
                    <a:stretch>
                      <a:fillRect/>
                    </a:stretch>
                  </pic:blipFill>
                  <pic:spPr bwMode="auto">
                    <a:xfrm>
                      <a:off x="0" y="0"/>
                      <a:ext cx="5676900" cy="3048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Actually Paid and Adjusted EBITDA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 demonstrates the amount of compensation actually paid to Mr. Morris and the average amount of compensation actually paid to the Company’s NEOs as a group (excluding Mr. Morris) as compared with the Company’s Adjusted EBITDA over the four years presented in the table.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38"/>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to link compensation actually paid to the company’s NEOs, for the most recently completed fiscal year, to Company performance. The Company utilizes Adjusted EBITDA when setting goals for annual performance-based cash incentives under each NEO’s employment agreement and long-term equity incentives.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76900" cy="3048000"/>
            <wp:effectExtent l="0" t="0" r="0" b="0"/>
            <wp:docPr id="17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4" descr=""/>
                    <pic:cNvPicPr>
                      <a:picLocks noChangeAspect="1" noChangeArrowheads="1"/>
                    </pic:cNvPicPr>
                  </pic:nvPicPr>
                  <pic:blipFill>
                    <a:blip r:embed="rId35"/>
                    <a:stretch>
                      <a:fillRect/>
                    </a:stretch>
                  </pic:blipFill>
                  <pic:spPr bwMode="auto">
                    <a:xfrm>
                      <a:off x="0" y="0"/>
                      <a:ext cx="5676900" cy="3048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ICO"/>
      <w:bookmarkEnd w:id="24"/>
      <w:r>
        <w:rPr>
          <w:rFonts w:ascii="calibri;arial;sans-serif" w:hAnsi="calibri;arial;sans-serif"/>
          <w:b w:val="false"/>
          <w:i w:val="false"/>
          <w:caps w:val="false"/>
          <w:smallCaps w:val="false"/>
          <w:color w:val="000000"/>
          <w:sz w:val="16"/>
        </w:rPr>
        <w:t>​</w:t>
      </w:r>
      <w:bookmarkStart w:id="25" w:name="t2DCT"/>
      <w:bookmarkEnd w:id="25"/>
      <w:r>
        <w:rPr>
          <w:rFonts w:ascii="calibri;arial;sans-serif" w:hAnsi="calibri;arial;sans-serif"/>
          <w:b w:val="false"/>
          <w:i w:val="false"/>
          <w:caps w:val="false"/>
          <w:smallCaps w:val="false"/>
          <w:color w:val="000000"/>
          <w:sz w:val="16"/>
        </w:rPr>
        <w:t>​</w:t>
      </w:r>
      <w:bookmarkStart w:id="26" w:name="tNDT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Director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annual and long-term compensation awarded to, earned by, or paid to each non-employee director for all services rendered in all capacities to our company, or any of its subsidiaries, for the last fiscal year. </w:t>
      </w:r>
    </w:p>
    <w:tbl>
      <w:tblPr>
        <w:tblW w:w="7488" w:type="dxa"/>
        <w:jc w:val="left"/>
        <w:tblInd w:w="1393" w:type="dxa"/>
        <w:tblLayout w:type="fixed"/>
        <w:tblCellMar>
          <w:top w:w="0" w:type="dxa"/>
          <w:left w:w="0" w:type="dxa"/>
          <w:bottom w:w="28" w:type="dxa"/>
          <w:right w:w="0" w:type="dxa"/>
        </w:tblCellMar>
      </w:tblPr>
      <w:tblGrid>
        <w:gridCol w:w="124"/>
        <w:gridCol w:w="2296"/>
        <w:gridCol w:w="109"/>
        <w:gridCol w:w="109"/>
        <w:gridCol w:w="155"/>
        <w:gridCol w:w="155"/>
        <w:gridCol w:w="1096"/>
        <w:gridCol w:w="155"/>
        <w:gridCol w:w="109"/>
        <w:gridCol w:w="109"/>
        <w:gridCol w:w="133"/>
        <w:gridCol w:w="133"/>
        <w:gridCol w:w="1087"/>
        <w:gridCol w:w="133"/>
        <w:gridCol w:w="109"/>
        <w:gridCol w:w="109"/>
        <w:gridCol w:w="109"/>
        <w:gridCol w:w="109"/>
        <w:gridCol w:w="886"/>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296" w:type="dxa"/>
            <w:tcBorders>
              <w:bottom w:val="single" w:sz="2" w:space="0" w:color="000000"/>
            </w:tcBorders>
            <w:shd w:fill="FFFFFF" w:val="clear"/>
            <w:tcMar>
              <w:bottom w:w="43" w:type="dxa"/>
            </w:tcMar>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61"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Fees Earned or </w:t>
              <w:br/>
              <w:t xml:space="preserve">Paid in Cash </w:t>
              <w:b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86"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Stock Awards </w:t>
              <w:br/>
              <w:t>($)</w:t>
            </w:r>
            <w:r>
              <w:rPr>
                <w:spacing w:val="-2"/>
                <w:sz w:val="10"/>
              </w:rPr>
              <w:t>(2)(3)</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213"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96" w:type="dxa"/>
            <w:tcBorders/>
            <w:shd w:fill="CCCCCC" w:val="clear"/>
            <w:tcMar>
              <w:bottom w:w="0" w:type="dxa"/>
            </w:tcMar>
            <w:vAlign w:val="center"/>
          </w:tcPr>
          <w:p>
            <w:pPr>
              <w:pStyle w:val="TableContents"/>
              <w:bidi w:val="0"/>
              <w:spacing w:before="0" w:after="0"/>
              <w:jc w:val="left"/>
              <w:rPr>
                <w:b/>
              </w:rPr>
            </w:pPr>
            <w:r>
              <w:rPr>
                <w:b/>
                <w:spacing w:val="-4"/>
              </w:rPr>
              <w:t>Peter Kight</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right"/>
              <w:rPr/>
            </w:pPr>
            <w:r>
              <w:rPr/>
              <w:t>​</w:t>
            </w:r>
          </w:p>
        </w:tc>
        <w:tc>
          <w:tcPr>
            <w:tcW w:w="1096" w:type="dxa"/>
            <w:tcBorders/>
            <w:shd w:fill="CCCCCC" w:val="clear"/>
            <w:tcMar>
              <w:bottom w:w="0" w:type="dxa"/>
            </w:tcMar>
            <w:vAlign w:val="center"/>
          </w:tcPr>
          <w:p>
            <w:pPr>
              <w:pStyle w:val="TableContents"/>
              <w:bidi w:val="0"/>
              <w:spacing w:before="0" w:after="283"/>
              <w:jc w:val="right"/>
              <w:rPr/>
            </w:pPr>
            <w:r>
              <w:rPr/>
              <w:t>75,000</w:t>
            </w:r>
          </w:p>
        </w:tc>
        <w:tc>
          <w:tcPr>
            <w:tcW w:w="15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087" w:type="dxa"/>
            <w:tcBorders/>
            <w:shd w:fill="CCCCCC" w:val="clear"/>
            <w:tcMar>
              <w:bottom w:w="0" w:type="dxa"/>
            </w:tcMar>
            <w:vAlign w:val="center"/>
          </w:tcPr>
          <w:p>
            <w:pPr>
              <w:pStyle w:val="TableContents"/>
              <w:bidi w:val="0"/>
              <w:spacing w:before="0" w:after="283"/>
              <w:jc w:val="right"/>
              <w:rPr/>
            </w:pPr>
            <w:r>
              <w:rPr/>
              <w:t>249,999</w:t>
            </w:r>
          </w:p>
        </w:tc>
        <w:tc>
          <w:tcPr>
            <w:tcW w:w="13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324,999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6" w:type="dxa"/>
            <w:tcBorders/>
            <w:tcMar>
              <w:bottom w:w="0" w:type="dxa"/>
            </w:tcMar>
            <w:vAlign w:val="center"/>
          </w:tcPr>
          <w:p>
            <w:pPr>
              <w:pStyle w:val="TableContents"/>
              <w:bidi w:val="0"/>
              <w:spacing w:before="0" w:after="0"/>
              <w:jc w:val="left"/>
              <w:rPr>
                <w:b/>
              </w:rPr>
            </w:pPr>
            <w:r>
              <w:rPr>
                <w:b/>
                <w:spacing w:val="-4"/>
              </w:rPr>
              <w:t>Paul Garcia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52,500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169,993</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222,493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96" w:type="dxa"/>
            <w:tcBorders/>
            <w:shd w:fill="CCCCCC" w:val="clear"/>
            <w:tcMar>
              <w:bottom w:w="0" w:type="dxa"/>
            </w:tcMar>
            <w:vAlign w:val="center"/>
          </w:tcPr>
          <w:p>
            <w:pPr>
              <w:pStyle w:val="TableContents"/>
              <w:bidi w:val="0"/>
              <w:spacing w:before="0" w:after="0"/>
              <w:jc w:val="left"/>
              <w:rPr>
                <w:b/>
              </w:rPr>
            </w:pPr>
            <w:r>
              <w:rPr>
                <w:b/>
                <w:spacing w:val="-4"/>
              </w:rPr>
              <w:t>Maryann Goebel</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right"/>
              <w:rPr/>
            </w:pPr>
            <w:r>
              <w:rPr/>
              <w:t>​</w:t>
            </w:r>
          </w:p>
        </w:tc>
        <w:tc>
          <w:tcPr>
            <w:tcW w:w="1096" w:type="dxa"/>
            <w:tcBorders/>
            <w:shd w:fill="CCCCCC" w:val="clear"/>
            <w:tcMar>
              <w:bottom w:w="0" w:type="dxa"/>
            </w:tcMar>
            <w:vAlign w:val="center"/>
          </w:tcPr>
          <w:p>
            <w:pPr>
              <w:pStyle w:val="TableContents"/>
              <w:bidi w:val="0"/>
              <w:spacing w:before="0" w:after="283"/>
              <w:jc w:val="right"/>
              <w:rPr/>
            </w:pPr>
            <w:r>
              <w:rPr/>
              <w:t>50,000</w:t>
            </w:r>
          </w:p>
        </w:tc>
        <w:tc>
          <w:tcPr>
            <w:tcW w:w="15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087" w:type="dxa"/>
            <w:tcBorders/>
            <w:shd w:fill="CCCCCC" w:val="clear"/>
            <w:tcMar>
              <w:bottom w:w="0" w:type="dxa"/>
            </w:tcMar>
            <w:vAlign w:val="center"/>
          </w:tcPr>
          <w:p>
            <w:pPr>
              <w:pStyle w:val="TableContents"/>
              <w:bidi w:val="0"/>
              <w:spacing w:before="0" w:after="283"/>
              <w:jc w:val="right"/>
              <w:rPr/>
            </w:pPr>
            <w:r>
              <w:rPr/>
              <w:t>169,993</w:t>
            </w:r>
          </w:p>
        </w:tc>
        <w:tc>
          <w:tcPr>
            <w:tcW w:w="13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219,993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6" w:type="dxa"/>
            <w:tcBorders/>
            <w:tcMar>
              <w:bottom w:w="0" w:type="dxa"/>
            </w:tcMar>
            <w:vAlign w:val="center"/>
          </w:tcPr>
          <w:p>
            <w:pPr>
              <w:pStyle w:val="TableContents"/>
              <w:bidi w:val="0"/>
              <w:spacing w:before="0" w:after="0"/>
              <w:jc w:val="left"/>
              <w:rPr>
                <w:b/>
              </w:rPr>
            </w:pPr>
            <w:r>
              <w:rPr>
                <w:b/>
                <w:spacing w:val="-4"/>
              </w:rPr>
              <w:t>Robert Hartheimer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60,000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169,993</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229,993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96" w:type="dxa"/>
            <w:tcBorders/>
            <w:shd w:fill="CCCCCC" w:val="clear"/>
            <w:tcMar>
              <w:bottom w:w="0" w:type="dxa"/>
            </w:tcMar>
            <w:vAlign w:val="center"/>
          </w:tcPr>
          <w:p>
            <w:pPr>
              <w:pStyle w:val="TableContents"/>
              <w:bidi w:val="0"/>
              <w:spacing w:before="0" w:after="0"/>
              <w:jc w:val="left"/>
              <w:rPr>
                <w:b/>
              </w:rPr>
            </w:pPr>
            <w:r>
              <w:rPr>
                <w:b/>
                <w:spacing w:val="-4"/>
              </w:rPr>
              <w:t>William Jacobs</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right"/>
              <w:rPr/>
            </w:pPr>
            <w:r>
              <w:rPr/>
              <w:t>​</w:t>
            </w:r>
          </w:p>
        </w:tc>
        <w:tc>
          <w:tcPr>
            <w:tcW w:w="1096" w:type="dxa"/>
            <w:tcBorders/>
            <w:shd w:fill="CCCCCC" w:val="clear"/>
            <w:tcMar>
              <w:bottom w:w="0" w:type="dxa"/>
            </w:tcMar>
            <w:vAlign w:val="center"/>
          </w:tcPr>
          <w:p>
            <w:pPr>
              <w:pStyle w:val="TableContents"/>
              <w:bidi w:val="0"/>
              <w:spacing w:before="0" w:after="283"/>
              <w:jc w:val="right"/>
              <w:rPr/>
            </w:pPr>
            <w:r>
              <w:rPr/>
              <w:t>60,000</w:t>
            </w:r>
          </w:p>
        </w:tc>
        <w:tc>
          <w:tcPr>
            <w:tcW w:w="15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087" w:type="dxa"/>
            <w:tcBorders/>
            <w:shd w:fill="CCCCCC" w:val="clear"/>
            <w:tcMar>
              <w:bottom w:w="0" w:type="dxa"/>
            </w:tcMar>
            <w:vAlign w:val="center"/>
          </w:tcPr>
          <w:p>
            <w:pPr>
              <w:pStyle w:val="TableContents"/>
              <w:bidi w:val="0"/>
              <w:spacing w:before="0" w:after="283"/>
              <w:jc w:val="right"/>
              <w:rPr/>
            </w:pPr>
            <w:r>
              <w:rPr/>
              <w:t>169,993</w:t>
            </w:r>
          </w:p>
        </w:tc>
        <w:tc>
          <w:tcPr>
            <w:tcW w:w="13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229,993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6" w:type="dxa"/>
            <w:tcBorders/>
            <w:tcMar>
              <w:bottom w:w="0" w:type="dxa"/>
            </w:tcMar>
            <w:vAlign w:val="center"/>
          </w:tcPr>
          <w:p>
            <w:pPr>
              <w:pStyle w:val="TableContents"/>
              <w:bidi w:val="0"/>
              <w:spacing w:before="0" w:after="0"/>
              <w:jc w:val="left"/>
              <w:rPr>
                <w:b/>
              </w:rPr>
            </w:pPr>
            <w:r>
              <w:rPr>
                <w:b/>
                <w:spacing w:val="-4"/>
              </w:rPr>
              <w:t>Richard Thornburgh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50,000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169,993</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219,993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96" w:type="dxa"/>
            <w:tcBorders/>
            <w:shd w:fill="CCCCCC" w:val="clear"/>
            <w:tcMar>
              <w:bottom w:w="0" w:type="dxa"/>
            </w:tcMar>
            <w:vAlign w:val="center"/>
          </w:tcPr>
          <w:p>
            <w:pPr>
              <w:pStyle w:val="TableContents"/>
              <w:bidi w:val="0"/>
              <w:spacing w:before="0" w:after="0"/>
              <w:jc w:val="left"/>
              <w:rPr>
                <w:b/>
              </w:rPr>
            </w:pPr>
            <w:r>
              <w:rPr>
                <w:b/>
                <w:spacing w:val="-4"/>
              </w:rPr>
              <w:t>Emnet Rios</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right"/>
              <w:rPr/>
            </w:pPr>
            <w:r>
              <w:rPr/>
              <w:t>​</w:t>
            </w:r>
          </w:p>
        </w:tc>
        <w:tc>
          <w:tcPr>
            <w:tcW w:w="1096" w:type="dxa"/>
            <w:tcBorders/>
            <w:shd w:fill="CCCCCC" w:val="clear"/>
            <w:tcMar>
              <w:bottom w:w="0" w:type="dxa"/>
            </w:tcMar>
            <w:vAlign w:val="center"/>
          </w:tcPr>
          <w:p>
            <w:pPr>
              <w:pStyle w:val="TableContents"/>
              <w:bidi w:val="0"/>
              <w:spacing w:before="0" w:after="283"/>
              <w:jc w:val="right"/>
              <w:rPr/>
            </w:pPr>
            <w:r>
              <w:rPr/>
              <w:t>52,500</w:t>
            </w:r>
          </w:p>
        </w:tc>
        <w:tc>
          <w:tcPr>
            <w:tcW w:w="155"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left"/>
              <w:rPr/>
            </w:pPr>
            <w:r>
              <w:rPr/>
              <w:t>​</w:t>
            </w:r>
          </w:p>
        </w:tc>
        <w:tc>
          <w:tcPr>
            <w:tcW w:w="133" w:type="dxa"/>
            <w:tcBorders/>
            <w:shd w:fill="CCCCCC" w:val="clear"/>
            <w:tcMar>
              <w:bottom w:w="0" w:type="dxa"/>
            </w:tcMar>
            <w:vAlign w:val="center"/>
          </w:tcPr>
          <w:p>
            <w:pPr>
              <w:pStyle w:val="TableContents"/>
              <w:bidi w:val="0"/>
              <w:spacing w:before="0" w:after="283"/>
              <w:jc w:val="right"/>
              <w:rPr/>
            </w:pPr>
            <w:r>
              <w:rPr/>
              <w:t>​</w:t>
            </w:r>
          </w:p>
        </w:tc>
        <w:tc>
          <w:tcPr>
            <w:tcW w:w="1087" w:type="dxa"/>
            <w:tcBorders/>
            <w:shd w:fill="CCCCCC" w:val="clear"/>
            <w:tcMar>
              <w:bottom w:w="0" w:type="dxa"/>
            </w:tcMar>
            <w:vAlign w:val="center"/>
          </w:tcPr>
          <w:p>
            <w:pPr>
              <w:pStyle w:val="TableContents"/>
              <w:bidi w:val="0"/>
              <w:spacing w:before="0" w:after="283"/>
              <w:jc w:val="right"/>
              <w:rPr/>
            </w:pPr>
            <w:r>
              <w:rPr/>
              <w:t>169,993</w:t>
            </w:r>
          </w:p>
        </w:tc>
        <w:tc>
          <w:tcPr>
            <w:tcW w:w="13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886" w:type="dxa"/>
            <w:tcBorders/>
            <w:shd w:fill="CCCCCC" w:val="clear"/>
            <w:tcMar>
              <w:bottom w:w="0" w:type="dxa"/>
            </w:tcMar>
            <w:vAlign w:val="center"/>
          </w:tcPr>
          <w:p>
            <w:pPr>
              <w:pStyle w:val="TableContents"/>
              <w:bidi w:val="0"/>
              <w:spacing w:before="0" w:after="283"/>
              <w:jc w:val="right"/>
              <w:rPr/>
            </w:pPr>
            <w:r>
              <w:rPr/>
              <w:t>222,493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Morris’ compensation is disclosed under “Executive Compensation.” Shaler Alias is an executive officer of Repay but he is not a “named executive officer” for 2023. He does not receive any additional compensation for services provided as a director. </w:t>
      </w:r>
      <w:r>
        <mc:AlternateContent>
          <mc:Choice Requires="wps">
            <w:drawing>
              <wp:anchor behindDoc="0" distT="10033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are the grant date fair value of each award computed in accordance with FASB ASC Topic 718. The aggregate dollar value of the restricted stock units is based on $7.41 per share of Class A common stock on June 14, 2023. </w:t>
      </w:r>
      <w:r>
        <mc:AlternateContent>
          <mc:Choice Requires="wps">
            <w:drawing>
              <wp:anchor behindDoc="0" distT="4953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stock awards outstanding for each director (other than Mr. Kight and Ms. Rios) as of December 31, 2023 is 63,331. The aggregate number of stock awards outstanding for Mr. Kight as of December 31, 2023 is 80,402. The aggregate number of stock awards outstanding for Ms. Rios as of December 31, 2023 is 45,578. </w:t>
      </w:r>
      <w:r>
        <mc:AlternateContent>
          <mc:Choice Requires="wps">
            <w:drawing>
              <wp:anchor behindDoc="0" distT="4953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9"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Disclosure to Director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non-employee director compensation policy, we compensate our non-employee directors with a combination of cash and equity in the form of restricted stock units. In addition, we reimburse directors for their reasonable out-of-pocket expenses incurred in connection with attending Board and committee meetings.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Retainer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non-employee director compensation policy, non-employee directors are entitled to an annual cash retainer of $40,000, which is paid quarterly in arrears on October 1, January 1, April 1 and July 1 of each year. The non-executive chairman is entitled to an additional cash retainer of $20,000 which is paid quarterly in arrears on October 1, January 1, April 1 and July 1 of each year.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Equity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equity award is awarded to incumbent directors at each stockholders’ meeting in the form of restricted stock units, calculated based on the closing price on the grant date (or the most recent trading day if such date is not a trading day) and rounded down to the nearest whole unit. Restricted stock units vest on the first anniversary of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Internal Revenue Code and (y) a change of control. For fiscal 2023, each director received an award of approximately $170,000 in restricted stock units, other than the non-executive chairman who received an award of approximately $250,000.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Committee and Committee Chair Fees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CCI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Compensation Committee are currently Paul R. Garcia, William Jacobs and Richard E. Thornburgh.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C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contained in this Proxy Statement with management. Based upon such review, the related discussions and such other matters deemed relevant and appropriate to the Compensation Committee, the Compensation Committee has recommended to the Board that the Compensation Discussion and Analysis be included in the Proxy Statement for the 2024 Annual Meeting of Stockholders.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Submitted by the Compensation Committee: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William Jacobs, Chairperson </w:t>
        <w:br/>
        <w:t xml:space="preserve">Paul R. Garcia </w:t>
        <w:br/>
        <w:t xml:space="preserve">Richard E. Thornburgh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report does not constitute soliciting material and shall not be deemed to be filed or incorporated by reference into any other filing under the Securities Act of 1933, or the Securities Exchange Act of 1934, except to the extent that the Company specifically incorporates the Compensation Committee report by reference therein.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OOC"/>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beneficial ownership of our Class A common stock, our Class V common stock and the limited liability company interests of Hawk Parent (the “Post-Merger Repay Units”) as of April 1,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equityholders of Hawk Parent received as consideration for their existing limited liability company interests of Hawk Parent an amount of cash and a number of Post-Merger Repay Units. In connection with the issuance of such Post-Merger Repay Units, we issued to Hawk Parent, as the surviving company following the Merger, 100 shares of Class V common stock of the Company, and Hawk Parent distributed one share of Class V common stock to each holder of Post-Merger Repay Units. Limited liability company interests of Hawk Parent held by the Company or any of its subsidiaries are not reflected as Post-Merger Repay Units for any purposes in these tables.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is provided with respect to (1) each person who is known by us to own beneficially more than 5% of the outstanding shares of our Class A common stock, (2) each of our directors, (3) each of our NEOs and (4) all of our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95,911,743 shares of our Class A Common Stock and 5,844,095 Post-Merger Repay Units outstanding on April 1,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have sole voting and investment power with respect to all shares beneficially owned by them. No director or executive officer has pledged any of the shares or units disclosed below. Unless otherwise noted, the business address of each of the following entities or individuals is 3 West Paces Ferry Road, Suite 200, Atlanta, Georgia 30305.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9"/>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Repay Holdings Corporation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4247"/>
        <w:gridCol w:w="109"/>
        <w:gridCol w:w="109"/>
        <w:gridCol w:w="109"/>
        <w:gridCol w:w="109"/>
        <w:gridCol w:w="1186"/>
        <w:gridCol w:w="109"/>
        <w:gridCol w:w="109"/>
        <w:gridCol w:w="109"/>
        <w:gridCol w:w="109"/>
        <w:gridCol w:w="109"/>
        <w:gridCol w:w="636"/>
        <w:gridCol w:w="109"/>
        <w:gridCol w:w="109"/>
        <w:gridCol w:w="109"/>
        <w:gridCol w:w="121"/>
        <w:gridCol w:w="121"/>
        <w:gridCol w:w="790"/>
        <w:gridCol w:w="121"/>
        <w:gridCol w:w="158"/>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4247"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3"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Class A </w:t>
              <w:br/>
              <w:t xml:space="preserve">common </w:t>
              <w:br/>
              <w:t>stock</w:t>
            </w:r>
            <w:r>
              <w:rPr>
                <w:spacing w:val="-2"/>
                <w:sz w:val="10"/>
              </w:rPr>
              <w:t>(1)</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963"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 of </w:t>
              <w:br/>
              <w:t>Class</w:t>
            </w:r>
            <w:r>
              <w:rPr>
                <w:spacing w:val="-2"/>
                <w:sz w:val="10"/>
              </w:rPr>
              <w:t>(2)</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Company </w:t>
              <w:br/>
              <w:t xml:space="preserve">Voting </w:t>
              <w:br/>
              <w:t>Power %</w:t>
            </w:r>
            <w:r>
              <w:rPr>
                <w:spacing w:val="-2"/>
                <w:sz w:val="10"/>
              </w:rPr>
              <w:t>(3)(4)</w:t>
            </w:r>
            <w:r>
              <w:rPr/>
              <w:t xml:space="preserve"> </w:t>
            </w:r>
          </w:p>
        </w:tc>
        <w:tc>
          <w:tcPr>
            <w:tcW w:w="158"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John Morris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5,706,024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5.6%</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Shaler Alias</w:t>
            </w:r>
            <w:r>
              <w:rPr>
                <w:spacing w:val="3"/>
                <w:sz w:val="13"/>
              </w:rPr>
              <w:t>(6)</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1,434,000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1.5%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1.4%</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Timothy Murphy</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558,924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Tyler B. Dempsey</w:t>
            </w:r>
            <w:r>
              <w:rPr>
                <w:spacing w:val="3"/>
                <w:sz w:val="13"/>
              </w:rPr>
              <w:t>(8)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259,721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David Guthrie</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179,906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Jacob H. Moore</w:t>
            </w:r>
            <w:r>
              <w:rPr>
                <w:spacing w:val="3"/>
                <w:sz w:val="13"/>
              </w:rPr>
              <w:t>(10)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450,762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Paul R. Garcia</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129,131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Maryann Goebel</w:t>
            </w:r>
            <w:r>
              <w:rPr>
                <w:spacing w:val="3"/>
                <w:sz w:val="13"/>
              </w:rPr>
              <w:t>(11)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63,331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Robert H. Hartheimer</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William Jacobs</w:t>
            </w:r>
            <w:r>
              <w:rPr>
                <w:spacing w:val="3"/>
                <w:sz w:val="13"/>
              </w:rPr>
              <w:t>(11)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268,533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Peter J. Kight</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1,594,297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1.5%</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Emnet Rios</w:t>
            </w:r>
            <w:r>
              <w:rPr>
                <w:spacing w:val="3"/>
                <w:sz w:val="13"/>
              </w:rPr>
              <w:t>(11)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45,578</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Richard E. Thornburgh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84,431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All Directors and Executive Officers as a Group (15 persons)</w:t>
            </w:r>
            <w:r>
              <w:rPr>
                <w:spacing w:val="3"/>
                <w:sz w:val="13"/>
              </w:rPr>
              <w:t>(11)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11,117,538</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11.0%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10.6%</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Beckham Parent, L.P.</w:t>
            </w:r>
            <w:r>
              <w:rPr>
                <w:spacing w:val="3"/>
                <w:sz w:val="13"/>
              </w:rPr>
              <w:t>(12)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8,907,540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9.3%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8.8%</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7" w:type="dxa"/>
            <w:tcBorders/>
            <w:tcMar>
              <w:bottom w:w="0" w:type="dxa"/>
            </w:tcMar>
            <w:vAlign w:val="center"/>
          </w:tcPr>
          <w:p>
            <w:pPr>
              <w:pStyle w:val="TableContents"/>
              <w:bidi w:val="0"/>
              <w:spacing w:before="0" w:after="283"/>
              <w:jc w:val="left"/>
              <w:rPr/>
            </w:pPr>
            <w:r>
              <w:rPr>
                <w:spacing w:val="4"/>
              </w:rPr>
              <w:t>BlackRock, Inc.</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8,421,675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r>
              <w:rPr/>
              <w:t>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w:t>
            </w:r>
          </w:p>
        </w:tc>
        <w:tc>
          <w:tcPr>
            <w:tcW w:w="12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47" w:type="dxa"/>
            <w:tcBorders/>
            <w:shd w:fill="CCCCCC" w:val="clear"/>
            <w:tcMar>
              <w:bottom w:w="0" w:type="dxa"/>
            </w:tcMar>
            <w:vAlign w:val="center"/>
          </w:tcPr>
          <w:p>
            <w:pPr>
              <w:pStyle w:val="TableContents"/>
              <w:bidi w:val="0"/>
              <w:spacing w:before="0" w:after="283"/>
              <w:jc w:val="left"/>
              <w:rPr/>
            </w:pPr>
            <w:r>
              <w:rPr>
                <w:spacing w:val="4"/>
              </w:rPr>
              <w:t>Royce &amp; Associates, LP</w:t>
            </w:r>
            <w:r>
              <w:rPr>
                <w:spacing w:val="3"/>
                <w:sz w:val="13"/>
              </w:rPr>
              <w:t>(14)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186" w:type="dxa"/>
            <w:tcBorders/>
            <w:shd w:fill="CCCCCC" w:val="clear"/>
            <w:tcMar>
              <w:bottom w:w="0" w:type="dxa"/>
            </w:tcMar>
            <w:vAlign w:val="center"/>
          </w:tcPr>
          <w:p>
            <w:pPr>
              <w:pStyle w:val="TableContents"/>
              <w:bidi w:val="0"/>
              <w:spacing w:before="0" w:after="283"/>
              <w:jc w:val="right"/>
              <w:rPr/>
            </w:pPr>
            <w:r>
              <w:rPr/>
              <w:t>4,964,487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636" w:type="dxa"/>
            <w:tcBorders/>
            <w:shd w:fill="CCCCCC" w:val="clear"/>
            <w:tcMar>
              <w:bottom w:w="0" w:type="dxa"/>
            </w:tcMar>
            <w:vAlign w:val="center"/>
          </w:tcPr>
          <w:p>
            <w:pPr>
              <w:pStyle w:val="TableContents"/>
              <w:bidi w:val="0"/>
              <w:spacing w:before="0" w:after="283"/>
              <w:jc w:val="right"/>
              <w:rPr/>
            </w:pPr>
            <w:r>
              <w:rPr/>
              <w:t>5.2%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790" w:type="dxa"/>
            <w:tcBorders/>
            <w:shd w:fill="CCCCCC" w:val="clear"/>
            <w:tcMar>
              <w:bottom w:w="0" w:type="dxa"/>
            </w:tcMar>
            <w:vAlign w:val="center"/>
          </w:tcPr>
          <w:p>
            <w:pPr>
              <w:pStyle w:val="TableContents"/>
              <w:bidi w:val="0"/>
              <w:spacing w:before="0" w:after="283"/>
              <w:jc w:val="right"/>
              <w:rPr/>
            </w:pPr>
            <w:r>
              <w:rPr/>
              <w:t>4.9%</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8"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11684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shown consist of Class A common stock and the Class A common stock exchangeable for Post-Merger Repay Units pursuant to the Exchange Agreement (described under section entitled “Related Party Transactions” below).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The Company has the option to deliver cash in lieu of shares of Class A common stock upon exercise by such holder of its exchange right. However, beneficial ownership is reflected here to include beneficial ownership of shares of our Class A common stock for which such Post-Merger Repay Units may be exchanged. The “Beneficial Ownership of Hawk Parent, LLC” table below reflects the number of Post-Merger Repay Units held by each of the persons in the table above. For clarity, each such number of Post-Merger Repay Units is already included in the Class A common stock column in the table above as described. </w:t>
      </w:r>
      <w:r>
        <mc:AlternateContent>
          <mc:Choice Requires="wps">
            <w:drawing>
              <wp:anchor behindDoc="0" distT="6604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Hawk Parent, LLC</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5579"/>
        <w:gridCol w:w="109"/>
        <w:gridCol w:w="109"/>
        <w:gridCol w:w="109"/>
        <w:gridCol w:w="109"/>
        <w:gridCol w:w="1066"/>
        <w:gridCol w:w="109"/>
        <w:gridCol w:w="109"/>
        <w:gridCol w:w="109"/>
        <w:gridCol w:w="136"/>
        <w:gridCol w:w="136"/>
        <w:gridCol w:w="714"/>
        <w:gridCol w:w="139"/>
        <w:gridCol w:w="155"/>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5579"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393"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Class V </w:t>
              <w:br/>
              <w:t xml:space="preserve">common </w:t>
              <w:br/>
              <w:t xml:space="preserve">stock / Post- </w:t>
              <w:br/>
              <w:t xml:space="preserve">Merger </w:t>
              <w:br/>
              <w:t xml:space="preserve">Repay </w:t>
              <w:br/>
              <w:t>Units</w:t>
            </w:r>
            <w:r>
              <w:rPr>
                <w:spacing w:val="-2"/>
                <w:sz w:val="10"/>
              </w:rPr>
              <w:t>(3)</w:t>
            </w:r>
            <w:r>
              <w:rPr/>
              <w:t xml:space="preserve">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12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 of </w:t>
              <w:br/>
              <w:t xml:space="preserve">ownership </w:t>
              <w:br/>
              <w:t xml:space="preserve">of Hawk </w:t>
              <w:br/>
              <w:t xml:space="preserve">Parent, </w:t>
              <w:br/>
              <w:t xml:space="preserve">LLC </w:t>
            </w:r>
          </w:p>
        </w:tc>
        <w:tc>
          <w:tcPr>
            <w:tcW w:w="155"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John Morris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3,658,529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62.6%</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Shaler Alias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878,072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15.0%</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Timothy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Tyler B. Dempsey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David Guthrie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Jacob H. Moore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106,013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1.8%</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Paul R. Garcia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Maryann Goebel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Robert H. Hartheimer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William Jacobs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205,202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3.5%</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Peter J. Kight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Emnet Rios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79" w:type="dxa"/>
            <w:tcBorders/>
            <w:tcMar>
              <w:bottom w:w="0" w:type="dxa"/>
            </w:tcMar>
            <w:vAlign w:val="center"/>
          </w:tcPr>
          <w:p>
            <w:pPr>
              <w:pStyle w:val="TableContents"/>
              <w:bidi w:val="0"/>
              <w:spacing w:before="0" w:after="283"/>
              <w:jc w:val="left"/>
              <w:rPr>
                <w:spacing w:val="4"/>
              </w:rPr>
            </w:pPr>
            <w:r>
              <w:rPr>
                <w:spacing w:val="4"/>
              </w:rPr>
              <w:t xml:space="preserve">Richard E. Thornburgh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5579" w:type="dxa"/>
            <w:tcBorders/>
            <w:shd w:fill="CCCCCC" w:val="clear"/>
            <w:tcMar>
              <w:bottom w:w="0" w:type="dxa"/>
            </w:tcMar>
            <w:vAlign w:val="center"/>
          </w:tcPr>
          <w:p>
            <w:pPr>
              <w:pStyle w:val="TableContents"/>
              <w:bidi w:val="0"/>
              <w:spacing w:before="0" w:after="283"/>
              <w:jc w:val="left"/>
              <w:rPr>
                <w:spacing w:val="4"/>
              </w:rPr>
            </w:pPr>
            <w:r>
              <w:rPr>
                <w:spacing w:val="4"/>
              </w:rPr>
              <w:t xml:space="preserve">All Directors and Executive Officers as a Group (15 persons)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4,847,816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left"/>
              <w:rPr/>
            </w:pPr>
            <w:r>
              <w:rPr/>
              <w:t>​</w:t>
            </w:r>
          </w:p>
        </w:tc>
        <w:tc>
          <w:tcPr>
            <w:tcW w:w="136" w:type="dxa"/>
            <w:tcBorders/>
            <w:shd w:fill="CCCCCC" w:val="clear"/>
            <w:tcMar>
              <w:bottom w:w="0" w:type="dxa"/>
            </w:tcMar>
            <w:vAlign w:val="center"/>
          </w:tcPr>
          <w:p>
            <w:pPr>
              <w:pStyle w:val="TableContents"/>
              <w:bidi w:val="0"/>
              <w:spacing w:before="0" w:after="283"/>
              <w:jc w:val="right"/>
              <w:rPr/>
            </w:pPr>
            <w:r>
              <w:rPr/>
              <w:t>​</w:t>
            </w:r>
          </w:p>
        </w:tc>
        <w:tc>
          <w:tcPr>
            <w:tcW w:w="714" w:type="dxa"/>
            <w:tcBorders/>
            <w:shd w:fill="CCCCCC" w:val="clear"/>
            <w:tcMar>
              <w:bottom w:w="0" w:type="dxa"/>
            </w:tcMar>
            <w:vAlign w:val="center"/>
          </w:tcPr>
          <w:p>
            <w:pPr>
              <w:pStyle w:val="TableContents"/>
              <w:bidi w:val="0"/>
              <w:spacing w:before="0" w:after="283"/>
              <w:jc w:val="right"/>
              <w:rPr/>
            </w:pPr>
            <w:r>
              <w:rPr/>
              <w:t>83.0%</w:t>
            </w:r>
          </w:p>
        </w:tc>
        <w:tc>
          <w:tcPr>
            <w:tcW w:w="139"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calculate a stockholder’s percentage of beneficial ownership of Class A common stock, we must include in the numerator and denominator those shares of Class A common stock underlying Post-Merger Repay Units that such stockholder is considered to beneficially own. Shares of Class A common stock underlying Post-Merger Repay Units held by other stockholders, however, are disregarded in this calculation. Therefore, the denominator used in calculating beneficial ownership of Class A common stock of each of the stockholders may be different. </w:t>
      </w:r>
      <w:r>
        <mc:AlternateContent>
          <mc:Choice Requires="wps">
            <w:drawing>
              <wp:anchor behindDoc="0" distT="254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Post-Merger Repay Units also holds one share of our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 </w:t>
      </w:r>
      <w:r>
        <mc:AlternateContent>
          <mc:Choice Requires="wps">
            <w:drawing>
              <wp:anchor behindDoc="0" distT="4699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percentage of voting power of our Class A common stock and Class V common stock voting together as a single class. </w:t>
      </w:r>
      <w:r>
        <mc:AlternateContent>
          <mc:Choice Requires="wps">
            <w:drawing>
              <wp:anchor behindDoc="0" distT="4826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4"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securities held of record by (i) John Morris, individually, (ii) the 2018 JAM Family Charitable Trust dated March 1, 2018 (the “JAM Family Charitable Trust”), (iii) JOSEH Holdings, LLC and (iv) JAM Family Investments, Inc. (together with the JAM Family Charitable Trust and JOSEH Holdings, LLC, the “Morris Entities”). John Morris owns all of the voting ownership interests of JOSEH Holdings, LLC and serves as the sole member of its board of managers. John Morris (through a revocable trust of which he is the sole trustee) owns all of the voting shares of JAM Family Investments, Inc. and is the sole member of its board of directors. John Morris is the sole trustee of the JAM Family Charitable Trust. Mr. Morris has voting and investment power over the securities held by the Morris Entities. Mr. Morris has sole voting power over 5,706,024 shares and sole dispositive power over 4,791,914 shares. The number of shares of Class A common stock beneficially owned by Mr. Morris includes 914,110 shares of restricted Class A common stock that remain subject to time-based vesting. JOSEH Holdings has sole voting and dispositive power over 3,239,397 shares. JAM Family Investments, Inc. has sole voting and dispositive power over 15,000 shares. Mr. Morris is an officer and director of the Company. </w:t>
      </w:r>
      <w:r>
        <mc:AlternateContent>
          <mc:Choice Requires="wps">
            <w:drawing>
              <wp:anchor behindDoc="0" distT="4826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5"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securities held of record by (i) Shaler Alias, individually, and (ii) Alias Holdings, LLC (“Alias Holdings”). Shaler Alias owns all of the voting ownership interests of Alias Holdings. He also </w:t>
      </w:r>
      <w:r>
        <mc:AlternateContent>
          <mc:Choice Requires="wps">
            <w:drawing>
              <wp:anchor behindDoc="0" distT="4826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6"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serves as the sole member of its board of managers. Mr. Alias has voting and investment power over the securities held by Alias Holdings. Mr. Alias has sole voting power over 1,434,000 shares and sole dispositive power over 1,291,441 shares. The number of shares of Class A common stock beneficially owned by Mr. Alias includes 142,559 shares of restricted Class A common stock that remain subject to vesting. Alias Holdings has sole voting and dispositive power over 732,987 shares. Mr. Alias is an officer and director of the Company.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securities held of record by (i) Timothy Murphy, individually, and (ii) The TKM Charitable Remainder Unitrust (“TKM CRUT”). Mr. Murphy is the sole trustee of TKM CRUT. Mr. Murphy has voting and investment power over the securities held by TKM CRUT. Mr. Murphy has sole voting power over 558,924 shares and sole dispositive power over 320,829 shares. The number of shares of Class A common stock beneficially owned by Mr. Murphy includes 238,095 shares of restricted Class A common stock that remain subject to vesting. TKM CRUT has sole voting and dispositive power over 52,000 shares. Mr. Murphy is an officer of the Company. </w:t>
      </w:r>
      <w:r>
        <mc:AlternateContent>
          <mc:Choice Requires="wps">
            <w:drawing>
              <wp:anchor behindDoc="0" distT="4953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7"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Tyler B. Dempsey has sole voting power over 259,721 shares and sole dispositive power over 121,315 shares. The number of shares of Class A common stock beneficially owned by Mr. Dempsey includes 138,406 shares of restricted Class A common stock that remain subject to vesting. Mr. Dempsey is an officer of the Company. </w:t>
      </w:r>
      <w:r>
        <mc:AlternateContent>
          <mc:Choice Requires="wps">
            <w:drawing>
              <wp:anchor behindDoc="0" distT="4953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8"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David Guthrie has sole voting power over 179,906 shares and sole dispositive power over 26,449 shares. The number of shares of Class A common stock beneficially owned by Mr. Guthrie includes 153,457 shares of restricted Class A common stock that remain subject to vesting. Mr. Guthrie is an officer of the Company. </w:t>
      </w:r>
      <w:r>
        <mc:AlternateContent>
          <mc:Choice Requires="wps">
            <w:drawing>
              <wp:anchor behindDoc="0" distT="4953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9"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Jacob H. Moore has sole voting power over 450,762 shares and sole dispositive power over 310,692 shares. The number of shares of Class A common stock beneficially owned by Mr. Moore includes 140,070 shares of restricted Class A common stock that remain subject to vesting. Mr. Moore is an officer of the Company. </w:t>
      </w:r>
      <w:r>
        <mc:AlternateContent>
          <mc:Choice Requires="wps">
            <w:drawing>
              <wp:anchor behindDoc="0" distT="49530" distB="0" distL="0" distR="0" simplePos="0" locked="0" layoutInCell="1" allowOverlap="1" relativeHeight="193">
                <wp:simplePos x="0" y="0"/>
                <wp:positionH relativeFrom="column">
                  <wp:align>left</wp:align>
                </wp:positionH>
                <wp:positionV relativeFrom="line">
                  <wp:align>top</wp:align>
                </wp:positionV>
                <wp:extent cx="254000" cy="525780"/>
                <wp:effectExtent l="0" t="0" r="0" b="0"/>
                <wp:wrapSquare wrapText="right"/>
                <wp:docPr id="190" name="Frame1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non-employee director (other than Mr. Kight and Ms. Rios), includes 63,331 shares issuable under restricted stock units that are vested or scheduled to vest on June 14, 2024. For Mr. Kight, includes 80,402 shares issuable under restricted stock units that are vested or scheduled to vest on June 14, 2024. For Mr. Rios, includes 45,578 shares issuable under restricted stock units that are vested or scheduled to vest on June 14, 2024. </w:t>
      </w:r>
      <w:r>
        <mc:AlternateContent>
          <mc:Choice Requires="wps">
            <w:drawing>
              <wp:anchor behindDoc="0" distT="49530" distB="0" distL="0" distR="0" simplePos="0" locked="0" layoutInCell="1" allowOverlap="1" relativeHeight="194">
                <wp:simplePos x="0" y="0"/>
                <wp:positionH relativeFrom="column">
                  <wp:align>left</wp:align>
                </wp:positionH>
                <wp:positionV relativeFrom="line">
                  <wp:align>top</wp:align>
                </wp:positionV>
                <wp:extent cx="254000" cy="525780"/>
                <wp:effectExtent l="0" t="0" r="0" b="0"/>
                <wp:wrapSquare wrapText="right"/>
                <wp:docPr id="191" name="Frame1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information contained in the Schedule 13D filed with the SEC on February 20, 2024, and represents securities held of record by BT Parent GP, LLC (“BT Parent GP”) and Beckham Aggregator, L.P. (“Beckham Aggregator”), of which BT Parent GP is the general partner of Beckham Aggregator and as such may be deemed the beneficial owner of the shares. BT Parent GP has delegated investment decisions, including voting and dispositive power, with respect to the shares held by Beckham Aggregator to their respective board of managers. BT Parent GP holds shared voting power and shared dispositive power over 8,907,540 of the shares; Beckham Aggregator holds shared voting power and shared dispositive power over 8,907,540 of the shares. The principal business address for each entity identified in this paragraph is c/o Parthenon Capital Partners, Four Embarcadero Center, Suite 3610, San Francisco, CA 94111. </w:t>
      </w:r>
      <w:r>
        <mc:AlternateContent>
          <mc:Choice Requires="wps">
            <w:drawing>
              <wp:anchor behindDoc="0" distT="49530" distB="0" distL="0" distR="0" simplePos="0" locked="0" layoutInCell="1" allowOverlap="1" relativeHeight="195">
                <wp:simplePos x="0" y="0"/>
                <wp:positionH relativeFrom="column">
                  <wp:align>left</wp:align>
                </wp:positionH>
                <wp:positionV relativeFrom="line">
                  <wp:align>top</wp:align>
                </wp:positionV>
                <wp:extent cx="254000" cy="525780"/>
                <wp:effectExtent l="0" t="0" r="0" b="0"/>
                <wp:wrapSquare wrapText="right"/>
                <wp:docPr id="192" name="Frame1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information contained in the Schedule 13G/A filed with the SEC on January 25, 2024, and represents securities held of record by BlackRock, Inc., who has sole voting power over 8,421,675 of the shares and sole dispositive power over 8,421,675 of the shares. The securities are beneficially owned by various BlackRock subsidiaries, none of which has beneficial ownership of more than 5% of the outstanding common stock. For purposes of the Exchange Act, BlackRock is deemed to be a beneficial owner of such shares. The principal business address for BlackRock, Inc. is 55 East 52nd Street, New York, NY 10055. </w:t>
      </w:r>
      <w:r>
        <mc:AlternateContent>
          <mc:Choice Requires="wps">
            <w:drawing>
              <wp:anchor behindDoc="0" distT="50800" distB="0" distL="0" distR="0" simplePos="0" locked="0" layoutInCell="1" allowOverlap="1" relativeHeight="196">
                <wp:simplePos x="0" y="0"/>
                <wp:positionH relativeFrom="column">
                  <wp:align>left</wp:align>
                </wp:positionH>
                <wp:positionV relativeFrom="line">
                  <wp:align>top</wp:align>
                </wp:positionV>
                <wp:extent cx="254000" cy="525780"/>
                <wp:effectExtent l="0" t="0" r="0" b="0"/>
                <wp:wrapSquare wrapText="right"/>
                <wp:docPr id="193" name="Frame1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information contained in the Schedule 13G/A filed with the SEC on January 24, 2024, and represents securities held of record by Royce &amp; Associate, LP (“RALP”), who has sole voting power and sole dispositive power over 4,964,487 of the shares. RALP is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525780"/>
                <wp:effectExtent l="0" t="0" r="0" b="0"/>
                <wp:wrapSquare wrapText="right"/>
                <wp:docPr id="194" name="Frame1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 investment discretion or voting authority, as the case may be, unless the agreement specifies otherwise. Charles B. Johnson and Rupert H. Johnson, Jr. (the “Principal Shareholders”) each own in excess of 10% of the outstanding common stock of FRI and are the principal stockholders of FRI. However, because RALP exercises voting and investment powers on behalf of its investment management clients independently of FRI affiliates, beneficial ownership of the securities reported by RALP is not attributed to the Principal Shareholders. For purposes of the Exchange Act, RALP is deemed to be a beneficial owner of such shares. The principal business address for RALP is 745 Fifth Avenue, New York, NY 10151.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arrangements, known to Repay, including any pledge by any person of securities of Repay or any of its parents, the operation of which may at a subsequent date result in a change in control of Repay.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S1R"/>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filing requirements applicable to our executive officers, directors and greater than 10% beneficial owners were filed in a timely manner during the year ended December 31, 2023, other than (i) a delinquent filing to report shares withheld to cover tax liabilities for each of Jacob H. Moore and Thomas Sullivan due to administrative oversight and (ii) a delinquent filing to report a purchase of shares under Repay’s employee stock purchase plan (and related withholding of shares to cover tax liabilities) for each of Naomi Barnett, David Guthrie, John Morris and Tim Murphy due to a delayed receipt of transaction data from Repay’s equity plan administrator.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RPT"/>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Post-Business Combination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we entered into the Exchange Agreement with holders (the “Repay Unitholders”) of the Post-Merger Repay Units, including John Morris, Shaler Alias, William Jacobs, Tim Murphy and Jacob Moore,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Receivable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we entered into the Tax Receivable Agreement with the Repay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above, Repay Unitholders may, subject to certain conditions, exchange their Post-Merger Repay Units for our shares of Class A common stock on a one-for-one basis, subject to the terms of the Exchange Agreement, including in certain cases adjustments as set forth therein. Hawk Parent currently has and will have in effect an election under Section 754 of the Internal Revenue Code for each taxable year in which an exchange of Post-Merger Repay Units for shares of Class A common stock occurs, which is expected to result in increases to the tax basis of the assets of Hawk Parent at the time of an exchange of Post-Merger Repay Units.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 including tax benefits attributable to payments under the Tax Receivable Agreement. 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 In addition, if there is a Change of Control, as such term is defined in the Tax Receivable Agreement, then with respect to any exchange of Post-Merger Repay Units for our shares of Class A common stock occurring prior to such Change of Control, the Company’s obligations under the Tax Receivable Agreement will be accelerated as if the Company exercised its right to terminate the Tax Receivable Agreement as of the date of the Change of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Term SOFR plus 571.513 basis points. The payments under the Tax Receivable Agreement are not conditioned upon continued ownership of us by Repay Unitholders. The rights of each party under the Tax Receivable Agreement other than the Company are assignable.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Founders’ Stockholders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the Company entered into a Stockholders Agreement with Mr. Alias and Mr. Morris (together, the “Repay Founders”) (the “Founders’ Stockholders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Founders’ Stockholders Agreement, Mr. Morris and Mr. Alias will serve on our Board. The Founders’ Stockholders Agreement provides that (i) if Mr. Morris ceases to serve as CEO of the Company, he will immediately resign as a director and will no longer be entitled to be designated to our Board, and (ii) if Mr. Alias ceases to serve as President of the Company, he will immediately resign as a director and no longer be entitled to be designated to our Board. If Mr. Morris and/or Mr. Alias resign, upon their termination, the Repay Founders together will be entitled to designate one designee for nomination to our Board as an independent director to replace the resigning director(s) (but no more than one independent director in total) (the “Independent Founder Designee” and together with Mr. Morris and Mr. Alias if serving as a designee under the foregoing provisions, the “Founder Designees”).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Founder Designee must be eligible to serve as a director, and the Independent Founder Designee must be independent, in each case under applicable Nasdaq rules (or any other market upon which shares of Class A common stock are then traded). Mr. Morris and Mr. Alias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We also agree to use our best efforts to cause the Founder Designees to be elected to our Board. Additionally, any change in the size of our Board requires the consent of the Repay Founders. Mr. Morris and Mr. Alias will not be entitled to compensation (other than as officers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Repay Unitholders Registration Rights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we entered into the Repay Unitholders Registration Rights Agreement with Corsair Capital LLC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Amended Operating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completion of the Business Combination, the existing amended and restated limited liability company agreement of Hawk Parent was amended and restated in its entirety to become the Amended Operating Agreement. 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Operating Agreement also provides for cash distributions, which we refer to as “tax distributions,” to the holders of Post-Merger Repay Units if the Company, as 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 For the year ended December 31, 2023, Hawk Parent declared and paid tax distributions exceeding $120,000 to the following related parties: approximately $850,000 to John Morris (including certain affiliated entities) and approximately $420,000 to Shaler Alias (including certain affiliated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liquidation or winding up of Hawk Parent, all net proceeds thereof will be distributed one hundred percent (100%) to the holders of Post-Merger Repay Units, pro rata based on their percentage interests.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Indemnification of Directors and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will indemnify our directors and officers to the fullest extent permitted by the Delaware General Corporate Law (“DGCL”). In addition, our Certificate of Incorporation provides that our directors will not be liable for monetary damages for breach of fiduciary duty to the fullest extent permitted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pending litigation or proceeding naming any of our directors or officers to which indemnification is being sought, and we are not aware of any pending or threatened litigation that may result in claims for indemnification by any director or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Andrew Alias, who is the brother of Shaler Alias, was employed by the Company as a Vice President of Sales through November 2023. As an employee, Andrew Alias received a base salary, commissions and other benefits consistent with the terms of his employment agreement, as well as equity incentive grants from our annual equity pool for non-executives.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Swinson Moore, who is the brother of Jacob H. Moore, currently performs services for the Company’s Business Payments business unit in his capacity as a specialized contractor engaged through a third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provider. Swinson Moore currently receives approximately $15,000 per month from the Company in connection with his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Approval or Ratification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Marketplace Rules, our Audit Committee (or another independent body of our Board) is required to conduct an appropriate review of all related party transactions for potential conflict of interest situations on an ongoing basis. In accordance with our Nominating and Corporate Governance Committee’s charter, the Nominating and Corporate Governance Committee must review and oversee all related party transactions. For these purposes, a “related party transaction” refers to all transactions for which review or oversight is required by applicable law or Nasdaq rules or that are required to be disclosed in the notes to Repay’s financial statements or in Repay’s SEC filings.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AUFE"/>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AUDITOR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selected Grant Thornton LLP (“Grant Thornton”) to serve as our independent registered accounting firm for the fiscal year ending December 31, 2023. We first engaged Grant Thornton in 2018, and it has served as our principal accounting firm since that date. The following table shows the fees for professional services rendered by Grant Thornton for the audit of our annual financial statements for the years ended December 31, 2023 and December 31, 2022, and fees billed for other services rendered by Grant Thornton during those periods. </w:t>
      </w:r>
    </w:p>
    <w:tbl>
      <w:tblPr>
        <w:tblW w:w="5955" w:type="dxa"/>
        <w:jc w:val="left"/>
        <w:tblInd w:w="1393" w:type="dxa"/>
        <w:tblLayout w:type="fixed"/>
        <w:tblCellMar>
          <w:top w:w="0" w:type="dxa"/>
          <w:left w:w="0" w:type="dxa"/>
          <w:bottom w:w="28" w:type="dxa"/>
          <w:right w:w="0" w:type="dxa"/>
        </w:tblCellMar>
      </w:tblPr>
      <w:tblGrid>
        <w:gridCol w:w="124"/>
        <w:gridCol w:w="2221"/>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2221"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10"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21" w:type="dxa"/>
            <w:tcBorders/>
            <w:shd w:fill="CCCCCC" w:val="clear"/>
            <w:tcMar>
              <w:bottom w:w="0" w:type="dxa"/>
            </w:tcMar>
            <w:vAlign w:val="center"/>
          </w:tcPr>
          <w:p>
            <w:pPr>
              <w:pStyle w:val="TableContents"/>
              <w:bidi w:val="0"/>
              <w:spacing w:before="0" w:after="283"/>
              <w:jc w:val="left"/>
              <w:rPr/>
            </w:pPr>
            <w:r>
              <w:rPr>
                <w:spacing w:val="4"/>
              </w:rPr>
              <w:t>Audit Fees</w:t>
            </w:r>
            <w:r>
              <w:rPr>
                <w:spacing w:val="3"/>
                <w:sz w:val="13"/>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1,774,690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1,717,035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21" w:type="dxa"/>
            <w:tcBorders/>
            <w:tcMar>
              <w:bottom w:w="0" w:type="dxa"/>
            </w:tcMar>
            <w:vAlign w:val="center"/>
          </w:tcPr>
          <w:p>
            <w:pPr>
              <w:pStyle w:val="TableContents"/>
              <w:bidi w:val="0"/>
              <w:spacing w:before="0" w:after="283"/>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21" w:type="dxa"/>
            <w:tcBorders/>
            <w:shd w:fill="CCCCCC" w:val="clear"/>
            <w:tcMar>
              <w:bottom w:w="0" w:type="dxa"/>
            </w:tcMar>
            <w:vAlign w:val="center"/>
          </w:tcPr>
          <w:p>
            <w:pPr>
              <w:pStyle w:val="TableContents"/>
              <w:bidi w:val="0"/>
              <w:spacing w:before="0" w:after="283"/>
              <w:jc w:val="left"/>
              <w:rPr/>
            </w:pPr>
            <w:r>
              <w:rPr>
                <w:spacing w:val="4"/>
              </w:rPr>
              <w:t>Tax Fees</w:t>
            </w:r>
            <w:r>
              <w:rPr>
                <w:spacing w:val="3"/>
                <w:sz w:val="13"/>
              </w:rPr>
              <w:t>(3)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shd w:fill="CCCCCC" w:val="clear"/>
            <w:tcMar>
              <w:bottom w:w="0" w:type="dxa"/>
            </w:tcMar>
            <w:vAlign w:val="center"/>
          </w:tcPr>
          <w:p>
            <w:pPr>
              <w:pStyle w:val="TableContents"/>
              <w:bidi w:val="0"/>
              <w:spacing w:before="0" w:after="283"/>
              <w:jc w:val="right"/>
              <w:rPr/>
            </w:pPr>
            <w:r>
              <w:rPr/>
              <w:t>​</w:t>
            </w:r>
          </w:p>
        </w:tc>
        <w:tc>
          <w:tcPr>
            <w:tcW w:w="1066" w:type="dxa"/>
            <w:tcBorders/>
            <w:shd w:fill="CCCCCC" w:val="clear"/>
            <w:tcMar>
              <w:bottom w:w="0" w:type="dxa"/>
            </w:tcMar>
            <w:vAlign w:val="center"/>
          </w:tcPr>
          <w:p>
            <w:pPr>
              <w:pStyle w:val="TableContents"/>
              <w:bidi w:val="0"/>
              <w:spacing w:before="0" w:after="283"/>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221" w:type="dxa"/>
            <w:tcBorders>
              <w:bottom w:val="single" w:sz="2" w:space="0" w:color="FFFFFF"/>
            </w:tcBorders>
            <w:tcMar>
              <w:bottom w:w="50" w:type="dxa"/>
            </w:tcMar>
            <w:vAlign w:val="center"/>
          </w:tcPr>
          <w:p>
            <w:pPr>
              <w:pStyle w:val="TableContents"/>
              <w:bidi w:val="0"/>
              <w:spacing w:before="0" w:after="283"/>
              <w:jc w:val="left"/>
              <w:rPr/>
            </w:pPr>
            <w:r>
              <w:rPr>
                <w:spacing w:val="4"/>
              </w:rPr>
              <w:t>All Other Fees</w:t>
            </w:r>
            <w:r>
              <w:rPr>
                <w:spacing w:val="3"/>
                <w:sz w:val="13"/>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2221" w:type="dxa"/>
            <w:tcBorders/>
            <w:shd w:fill="CCCCCC" w:val="clear"/>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CCC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CCCC" w:val="clear"/>
            <w:tcMar>
              <w:bottom w:w="50" w:type="dxa"/>
            </w:tcMar>
            <w:vAlign w:val="center"/>
          </w:tcPr>
          <w:p>
            <w:pPr>
              <w:pStyle w:val="TableContents"/>
              <w:bidi w:val="0"/>
              <w:spacing w:before="0" w:after="283"/>
              <w:jc w:val="right"/>
              <w:rPr/>
            </w:pPr>
            <w:r>
              <w:rPr/>
              <w:t>1,774,690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CCC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CCCC" w:val="clear"/>
            <w:tcMar>
              <w:bottom w:w="50" w:type="dxa"/>
            </w:tcMar>
            <w:vAlign w:val="center"/>
          </w:tcPr>
          <w:p>
            <w:pPr>
              <w:pStyle w:val="TableContents"/>
              <w:bidi w:val="0"/>
              <w:spacing w:before="0" w:after="283"/>
              <w:jc w:val="right"/>
              <w:rPr/>
            </w:pPr>
            <w:r>
              <w:rPr/>
              <w:t>1,717,035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Audit Fees consist of fees for professional services rendered for the audits of our annual consolidated financial statements, reviews of unaudited condensed consolidated quarterly financial statements, and consent procedures required in connection with our Form S-3 Registration Statements and Form S-8 Registration Statements. </w:t>
      </w:r>
      <w:r>
        <mc:AlternateContent>
          <mc:Choice Requires="wps">
            <w:drawing>
              <wp:anchor behindDoc="0" distT="10160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5"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Audit-Related Fees consist of fees for professional services that are reasonably related to the performance of the audit or review of the Company’s financial statements and are not reported under “Audit Fees.” </w:t>
      </w:r>
      <w:r>
        <mc:AlternateContent>
          <mc:Choice Requires="wps">
            <w:drawing>
              <wp:anchor behindDoc="0" distT="508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6"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Tax Fees consist of fees for professional services rendered with respect to federal and state tax compliance and tax advice. This can include preparation of tax returns, claims for refunds, payment planning, and tax law interpretation. </w:t>
      </w:r>
      <w:r>
        <mc:AlternateContent>
          <mc:Choice Requires="wps">
            <w:drawing>
              <wp:anchor behindDoc="0" distT="508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7"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All Other Fees consist of fees for professional services or costs not otherwise reported in Audit Fees, Audit-Related Fees or Tax Fees. </w:t>
      </w:r>
      <w:r>
        <mc:AlternateContent>
          <mc:Choice Requires="wps">
            <w:drawing>
              <wp:anchor behindDoc="0" distT="508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8"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audit-related services, tax services and other non-audit services were pre-approved by the Audit Committee, which concluded that the provision of such services by Grant Thornton was compatible with the maintenance of that firm’s independence in the conduct of its auditing functions. The Audit Committee’s outside auditor independence policy provides for pre-approval of audit and audit-related services specifically described by the committee on an annual basis and, in addition, individual engagements anticipated to exceed pre-established thresholds must be separately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PTAV"/>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PROPOSAL TWO</w:t>
      </w:r>
      <w:r>
        <w:rPr>
          <w:rFonts w:ascii="Times New Roman;Times;serif" w:hAnsi="Times New Roman;Times;serif"/>
          <w:b/>
          <w:i w:val="false"/>
          <w:caps w:val="false"/>
          <w:smallCaps w:val="false"/>
          <w:color w:val="000000"/>
          <w:spacing w:val="-4"/>
          <w:sz w:val="20"/>
        </w:rPr>
        <w:t xml:space="preserve">: </w:t>
        <w:b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14A of the Exchange Act, we are providing our stockholders with the opportunity at the Annual Meeting to vote on a non-binding advisory resolution, commonly known as a “say-on-pay” proposal, approving the compensation of our NEOs. This vote is not intended to address any specific item of compensation or the compensation of any specific NEO, but rather the overall compensation of our NEOs and the philosophy, policies and practices described in this Proxy Statement. A discussion of these items is found in the Compensation Discussion and Analysis section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programs are designed to achieve three primary objectives: (i) attract, retain and motivate a highly-talented executive team; (ii) align the objectives and interests of our executives with those of our stockholders in order to increase overall value and output within the Company; and (iii) promote the achievement of key financial and strategic milestones. 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your vote is advisory, it will not be binding upon the Company, the Compensation Committee or the Board. However, the Compensation Committee and the Board value the opinions of our stockholders and will take the outcome of the vote into account when determining the future compensation of the Company’s NEOs.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2022 Annual Meeting, our stockholders voted to hold a stockholder advisory vote to approve the compensation of the Company’s named executive officers annually. Accordingly, we presently hold say-on-pay votes every year.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the following advisory resolution related to the approval of the compensation of our NEOs: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paid to the Company’s named executive officers, as disclosed in the Proxy Statement for our 2024 Annual Meeting of Stockholders pursuant to the compensation disclosure rules of the Securities and Exchange Commission, including the Compensation Discussion and Analysis, named executive officer compensation tables and related narrative discussion, is hereby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TAO"/>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79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PROPOSAL THREE</w:t>
      </w:r>
      <w:r>
        <w:rPr>
          <w:rFonts w:ascii="Times New Roman;Times;serif" w:hAnsi="Times New Roman;Times;serif"/>
          <w:b/>
          <w:i w:val="false"/>
          <w:caps w:val="false"/>
          <w:smallCaps w:val="false"/>
          <w:color w:val="000000"/>
          <w:spacing w:val="-4"/>
          <w:sz w:val="20"/>
        </w:rPr>
        <w:t xml:space="preserve">: </w:t>
        <w:br/>
        <w:t xml:space="preserve">APPROVAL OF THE AMENDMENT AND RESTATEMENT OF </w:t>
        <w:br/>
        <w:t>THE COMPANY’S OMNIBUS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approve an amendment and restatement of the Repay Holdings Corporation Omnibus Incentive Plan (the “Second Amended and Restated Plan”). The Second Amended and Restated Plan amends and restates our stockholder-approved Repay Holdings Corporation Omnibus Incentive Plan (as previously amended, the “Current Plan”). The adoption of the Second Amended and Restated Plan is subject to stockholder approval and the Second Amended and Restated Plan will not become effective if such approval is not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Amended and Restated Plan would implement the following material amendments to the Current Plan: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the number of shares that may be issued pursuant to awards by 8,400,000 shares, in order to enable us to continue to offer eligible employees, directors, consultants and other advisors stock-based incentive awards under the plan, which we believe will enable us to attract, retain and reward these individuals and strengthen the mutuality of interests between them and our stockholders; </w:t>
      </w:r>
      <w:r>
        <mc:AlternateContent>
          <mc:Choice Requires="wps">
            <w:drawing>
              <wp:anchor behindDoc="0" distT="9144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 the expiration date from April 14, 2032 to April 19, 2034; and </w:t>
      </w:r>
      <w:r>
        <mc:AlternateContent>
          <mc:Choice Requires="wps">
            <w:drawing>
              <wp:anchor behindDoc="0" distT="9144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other updates as described further below and in the draft of the plan attached to this proxy statement as Annex A. </w:t>
      </w:r>
      <w:r>
        <mc:AlternateContent>
          <mc:Choice Requires="wps">
            <w:drawing>
              <wp:anchor behindDoc="0" distT="914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approval of the Second Amended and Restated Plan will serve the interests of our Company and our stockholders by providing for a sufficient amount of shares reserved for issuance under the Second Amended and Restated Plan for several years, so that we can continue to grant awards to promote our long-term success; successfully attract and retain the best possible candidates for positions of substantial responsibility within the Company; align employee and non-employee award recipient interests with stockholder interests; and provide incentive to the recipients to promote the success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approve the Second Amended and Restated Plan, the Second Amended and Restated Plan will replace the Current Plan, and no further awards will be granted under the Current Plan on or after the Effective Date. The terms and conditions of awards granted previously under the Current Plan will not be affected by the adoption or approval of the Second Amended and Restated Plan, and the Current Plan will remain effective with respect to awards granted under the Current Plan prior to stockholders’ approval of the Second Amended and Restated Plan. If our stockholders do not approve the Second Amended and Restated Plan, the Current Plan will remain in effect pursuant to its terms. Furthermore, if our stockholders do not approve this proposal, our ability to attract, reward and retain valuable employees will be restricted as we will not have a sufficient number of shares to make equity grants in the years to come.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the appropriate terms of the Second Amended and Restated Plan, the Compensation Committee considered, among other items, the existing terms of the Current Plan, our compensation philosophy and practices, as well as feedback from our stockholders and other stakeholders. The Board believes that awards tied to our Class A common stock and Company performance promote the long-term success of the Company and views the Second Amended and Restated Plan as an essential element of the Company’s overall compensation program.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2"/>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Overhang and Potential Dilution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certain information regarding outstanding awards under our Current Plan as of April 1, 2024: </w:t>
      </w:r>
    </w:p>
    <w:tbl>
      <w:tblPr>
        <w:tblW w:w="8812" w:type="dxa"/>
        <w:jc w:val="left"/>
        <w:tblInd w:w="1393" w:type="dxa"/>
        <w:tblLayout w:type="fixed"/>
        <w:tblCellMar>
          <w:top w:w="0" w:type="dxa"/>
          <w:left w:w="0" w:type="dxa"/>
          <w:bottom w:w="28" w:type="dxa"/>
          <w:right w:w="0" w:type="dxa"/>
        </w:tblCellMar>
      </w:tblPr>
      <w:tblGrid>
        <w:gridCol w:w="124"/>
        <w:gridCol w:w="6342"/>
        <w:gridCol w:w="109"/>
        <w:gridCol w:w="109"/>
        <w:gridCol w:w="128"/>
        <w:gridCol w:w="267"/>
        <w:gridCol w:w="1450"/>
        <w:gridCol w:w="128"/>
        <w:gridCol w:w="155"/>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6342"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73"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As of April 1, 2024 </w:t>
            </w:r>
          </w:p>
        </w:tc>
        <w:tc>
          <w:tcPr>
            <w:tcW w:w="155"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342" w:type="dxa"/>
            <w:tcBorders/>
            <w:shd w:fill="CCCCCC" w:val="clear"/>
            <w:tcMar>
              <w:bottom w:w="0" w:type="dxa"/>
            </w:tcMar>
            <w:vAlign w:val="center"/>
          </w:tcPr>
          <w:p>
            <w:pPr>
              <w:pStyle w:val="TableContents"/>
              <w:bidi w:val="0"/>
              <w:spacing w:before="0" w:after="283"/>
              <w:jc w:val="left"/>
              <w:rPr>
                <w:spacing w:val="4"/>
              </w:rPr>
            </w:pPr>
            <w:r>
              <w:rPr>
                <w:spacing w:val="4"/>
              </w:rPr>
              <w:t xml:space="preserve">Shares of unvested Time-Based Restricted Stock Awards (RSAs)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 w:type="dxa"/>
            <w:tcBorders/>
            <w:shd w:fill="CCCCCC" w:val="clear"/>
            <w:tcMar>
              <w:bottom w:w="0" w:type="dxa"/>
            </w:tcMar>
            <w:vAlign w:val="center"/>
          </w:tcPr>
          <w:p>
            <w:pPr>
              <w:pStyle w:val="TableContents"/>
              <w:bidi w:val="0"/>
              <w:spacing w:before="0" w:after="283"/>
              <w:jc w:val="left"/>
              <w:rPr/>
            </w:pPr>
            <w:r>
              <w:rPr/>
              <w:t>​</w:t>
            </w:r>
          </w:p>
        </w:tc>
        <w:tc>
          <w:tcPr>
            <w:tcW w:w="267" w:type="dxa"/>
            <w:tcBorders/>
            <w:shd w:fill="CCCCCC" w:val="clear"/>
            <w:tcMar>
              <w:bottom w:w="0" w:type="dxa"/>
            </w:tcMar>
            <w:vAlign w:val="center"/>
          </w:tcPr>
          <w:p>
            <w:pPr>
              <w:pStyle w:val="TableContents"/>
              <w:bidi w:val="0"/>
              <w:spacing w:before="0" w:after="283"/>
              <w:jc w:val="right"/>
              <w:rPr/>
            </w:pPr>
            <w:r>
              <w:rPr/>
              <w:t>​</w:t>
            </w:r>
          </w:p>
        </w:tc>
        <w:tc>
          <w:tcPr>
            <w:tcW w:w="1450" w:type="dxa"/>
            <w:tcBorders/>
            <w:shd w:fill="CCCCCC" w:val="clear"/>
            <w:tcMar>
              <w:bottom w:w="0" w:type="dxa"/>
            </w:tcMar>
            <w:vAlign w:val="center"/>
          </w:tcPr>
          <w:p>
            <w:pPr>
              <w:pStyle w:val="TableContents"/>
              <w:bidi w:val="0"/>
              <w:spacing w:before="0" w:after="283"/>
              <w:jc w:val="right"/>
              <w:rPr/>
            </w:pPr>
            <w:r>
              <w:rPr/>
              <w:t>4,417,951</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42" w:type="dxa"/>
            <w:tcBorders/>
            <w:tcMar>
              <w:bottom w:w="0" w:type="dxa"/>
            </w:tcMar>
            <w:vAlign w:val="center"/>
          </w:tcPr>
          <w:p>
            <w:pPr>
              <w:pStyle w:val="TableContents"/>
              <w:bidi w:val="0"/>
              <w:spacing w:before="0" w:after="283"/>
              <w:jc w:val="left"/>
              <w:rPr>
                <w:spacing w:val="4"/>
              </w:rPr>
            </w:pPr>
            <w:r>
              <w:rPr>
                <w:spacing w:val="4"/>
              </w:rPr>
              <w:t xml:space="preserve">Unvested Performance-Based Restricted Stock Units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1450" w:type="dxa"/>
            <w:tcBorders/>
            <w:tcMar>
              <w:bottom w:w="0" w:type="dxa"/>
            </w:tcMar>
            <w:vAlign w:val="center"/>
          </w:tcPr>
          <w:p>
            <w:pPr>
              <w:pStyle w:val="TableContents"/>
              <w:bidi w:val="0"/>
              <w:spacing w:before="0" w:after="283"/>
              <w:jc w:val="right"/>
              <w:rPr/>
            </w:pPr>
            <w:r>
              <w:rPr/>
              <w:t>1,482,791</w:t>
            </w:r>
          </w:p>
        </w:tc>
        <w:tc>
          <w:tcPr>
            <w:tcW w:w="12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342" w:type="dxa"/>
            <w:tcBorders/>
            <w:shd w:fill="CCCCCC" w:val="clear"/>
            <w:tcMar>
              <w:bottom w:w="0" w:type="dxa"/>
            </w:tcMar>
            <w:vAlign w:val="center"/>
          </w:tcPr>
          <w:p>
            <w:pPr>
              <w:pStyle w:val="TableContents"/>
              <w:bidi w:val="0"/>
              <w:spacing w:before="0" w:after="283"/>
              <w:jc w:val="left"/>
              <w:rPr>
                <w:spacing w:val="4"/>
              </w:rPr>
            </w:pPr>
            <w:r>
              <w:rPr>
                <w:spacing w:val="4"/>
              </w:rPr>
              <w:t xml:space="preserve">Unvested Restricted Stock Units (RSUs)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 w:type="dxa"/>
            <w:tcBorders/>
            <w:shd w:fill="CCCCCC" w:val="clear"/>
            <w:tcMar>
              <w:bottom w:w="0" w:type="dxa"/>
            </w:tcMar>
            <w:vAlign w:val="center"/>
          </w:tcPr>
          <w:p>
            <w:pPr>
              <w:pStyle w:val="TableContents"/>
              <w:bidi w:val="0"/>
              <w:spacing w:before="0" w:after="283"/>
              <w:jc w:val="left"/>
              <w:rPr/>
            </w:pPr>
            <w:r>
              <w:rPr/>
              <w:t>​</w:t>
            </w:r>
          </w:p>
        </w:tc>
        <w:tc>
          <w:tcPr>
            <w:tcW w:w="267" w:type="dxa"/>
            <w:tcBorders/>
            <w:shd w:fill="CCCCCC" w:val="clear"/>
            <w:tcMar>
              <w:bottom w:w="0" w:type="dxa"/>
            </w:tcMar>
            <w:vAlign w:val="center"/>
          </w:tcPr>
          <w:p>
            <w:pPr>
              <w:pStyle w:val="TableContents"/>
              <w:bidi w:val="0"/>
              <w:spacing w:before="0" w:after="283"/>
              <w:jc w:val="right"/>
              <w:rPr/>
            </w:pPr>
            <w:r>
              <w:rPr/>
              <w:t>​</w:t>
            </w:r>
          </w:p>
        </w:tc>
        <w:tc>
          <w:tcPr>
            <w:tcW w:w="1450" w:type="dxa"/>
            <w:tcBorders/>
            <w:shd w:fill="CCCCCC" w:val="clear"/>
            <w:tcMar>
              <w:bottom w:w="0" w:type="dxa"/>
            </w:tcMar>
            <w:vAlign w:val="center"/>
          </w:tcPr>
          <w:p>
            <w:pPr>
              <w:pStyle w:val="TableContents"/>
              <w:bidi w:val="0"/>
              <w:spacing w:before="0" w:after="283"/>
              <w:jc w:val="right"/>
              <w:rPr/>
            </w:pPr>
            <w:r>
              <w:rPr/>
              <w:t>171,384</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42" w:type="dxa"/>
            <w:tcBorders/>
            <w:tcMar>
              <w:bottom w:w="0" w:type="dxa"/>
            </w:tcMar>
            <w:vAlign w:val="center"/>
          </w:tcPr>
          <w:p>
            <w:pPr>
              <w:pStyle w:val="TableContents"/>
              <w:bidi w:val="0"/>
              <w:spacing w:before="0" w:after="283"/>
              <w:jc w:val="left"/>
              <w:rPr>
                <w:spacing w:val="4"/>
              </w:rPr>
            </w:pPr>
            <w:r>
              <w:rPr>
                <w:spacing w:val="4"/>
              </w:rPr>
              <w:t xml:space="preserve">Unvested Performance-Based Stock Options (PSOs)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1450" w:type="dxa"/>
            <w:tcBorders/>
            <w:tcMar>
              <w:bottom w:w="0" w:type="dxa"/>
            </w:tcMar>
            <w:vAlign w:val="center"/>
          </w:tcPr>
          <w:p>
            <w:pPr>
              <w:pStyle w:val="TableContents"/>
              <w:bidi w:val="0"/>
              <w:spacing w:before="0" w:after="283"/>
              <w:jc w:val="right"/>
              <w:rPr/>
            </w:pPr>
            <w:r>
              <w:rPr/>
              <w:t>1,148,822</w:t>
            </w:r>
          </w:p>
        </w:tc>
        <w:tc>
          <w:tcPr>
            <w:tcW w:w="12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342" w:type="dxa"/>
            <w:tcBorders/>
            <w:shd w:fill="CCCCCC" w:val="clear"/>
            <w:tcMar>
              <w:bottom w:w="0" w:type="dxa"/>
            </w:tcMar>
            <w:vAlign w:val="center"/>
          </w:tcPr>
          <w:p>
            <w:pPr>
              <w:pStyle w:val="TableContents"/>
              <w:bidi w:val="0"/>
              <w:spacing w:before="0" w:after="283"/>
              <w:jc w:val="left"/>
              <w:rPr>
                <w:spacing w:val="4"/>
              </w:rPr>
            </w:pPr>
            <w:r>
              <w:rPr>
                <w:spacing w:val="4"/>
              </w:rPr>
              <w:t xml:space="preserve">Weighted Average Remaining Term of PSOs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73" w:type="dxa"/>
            <w:gridSpan w:val="4"/>
            <w:tcBorders/>
            <w:shd w:fill="CCCCCC" w:val="clear"/>
            <w:tcMar>
              <w:bottom w:w="0" w:type="dxa"/>
            </w:tcMar>
            <w:vAlign w:val="center"/>
          </w:tcPr>
          <w:p>
            <w:pPr>
              <w:pStyle w:val="TableContents"/>
              <w:bidi w:val="0"/>
              <w:spacing w:before="0" w:after="0"/>
              <w:jc w:val="center"/>
              <w:rPr>
                <w:spacing w:val="4"/>
              </w:rPr>
            </w:pPr>
            <w:r>
              <w:rPr>
                <w:spacing w:val="4"/>
              </w:rPr>
              <w:t xml:space="preserve">5.96 years </w:t>
            </w:r>
          </w:p>
        </w:tc>
        <w:tc>
          <w:tcPr>
            <w:tcW w:w="155"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42" w:type="dxa"/>
            <w:tcBorders/>
            <w:tcMar>
              <w:bottom w:w="0" w:type="dxa"/>
            </w:tcMar>
            <w:vAlign w:val="center"/>
          </w:tcPr>
          <w:p>
            <w:pPr>
              <w:pStyle w:val="TableContents"/>
              <w:bidi w:val="0"/>
              <w:spacing w:before="0" w:after="283"/>
              <w:jc w:val="left"/>
              <w:rPr>
                <w:spacing w:val="4"/>
              </w:rPr>
            </w:pPr>
            <w:r>
              <w:rPr>
                <w:spacing w:val="4"/>
              </w:rPr>
              <w:t xml:space="preserve">Weighted Average Exercise Price of PSOs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1450" w:type="dxa"/>
            <w:tcBorders/>
            <w:tcMar>
              <w:bottom w:w="0" w:type="dxa"/>
            </w:tcMar>
            <w:vAlign w:val="center"/>
          </w:tcPr>
          <w:p>
            <w:pPr>
              <w:pStyle w:val="TableContents"/>
              <w:bidi w:val="0"/>
              <w:spacing w:before="0" w:after="283"/>
              <w:jc w:val="right"/>
              <w:rPr/>
            </w:pPr>
            <w:r>
              <w:rPr/>
              <w:t>6.13</w:t>
            </w:r>
          </w:p>
        </w:tc>
        <w:tc>
          <w:tcPr>
            <w:tcW w:w="12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342" w:type="dxa"/>
            <w:tcBorders/>
            <w:shd w:fill="CCCCCC" w:val="clear"/>
            <w:tcMar>
              <w:bottom w:w="0" w:type="dxa"/>
            </w:tcMar>
            <w:vAlign w:val="center"/>
          </w:tcPr>
          <w:p>
            <w:pPr>
              <w:pStyle w:val="TableContents"/>
              <w:bidi w:val="0"/>
              <w:spacing w:before="0" w:after="283"/>
              <w:jc w:val="left"/>
              <w:rPr>
                <w:spacing w:val="4"/>
              </w:rPr>
            </w:pPr>
            <w:r>
              <w:rPr>
                <w:spacing w:val="4"/>
              </w:rPr>
              <w:t xml:space="preserve">Shares of Class A Common Stock Available for Awards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 w:type="dxa"/>
            <w:tcBorders/>
            <w:shd w:fill="CCCCCC" w:val="clear"/>
            <w:tcMar>
              <w:bottom w:w="0" w:type="dxa"/>
            </w:tcMar>
            <w:vAlign w:val="center"/>
          </w:tcPr>
          <w:p>
            <w:pPr>
              <w:pStyle w:val="TableContents"/>
              <w:bidi w:val="0"/>
              <w:spacing w:before="0" w:after="283"/>
              <w:jc w:val="left"/>
              <w:rPr/>
            </w:pPr>
            <w:r>
              <w:rPr/>
              <w:t>​</w:t>
            </w:r>
          </w:p>
        </w:tc>
        <w:tc>
          <w:tcPr>
            <w:tcW w:w="267" w:type="dxa"/>
            <w:tcBorders/>
            <w:shd w:fill="CCCCCC" w:val="clear"/>
            <w:tcMar>
              <w:bottom w:w="0" w:type="dxa"/>
            </w:tcMar>
            <w:vAlign w:val="center"/>
          </w:tcPr>
          <w:p>
            <w:pPr>
              <w:pStyle w:val="TableContents"/>
              <w:bidi w:val="0"/>
              <w:spacing w:before="0" w:after="283"/>
              <w:jc w:val="right"/>
              <w:rPr/>
            </w:pPr>
            <w:r>
              <w:rPr/>
              <w:t>​</w:t>
            </w:r>
          </w:p>
        </w:tc>
        <w:tc>
          <w:tcPr>
            <w:tcW w:w="1450" w:type="dxa"/>
            <w:tcBorders/>
            <w:shd w:fill="CCCCCC" w:val="clear"/>
            <w:tcMar>
              <w:bottom w:w="0" w:type="dxa"/>
            </w:tcMar>
            <w:vAlign w:val="center"/>
          </w:tcPr>
          <w:p>
            <w:pPr>
              <w:pStyle w:val="TableContents"/>
              <w:bidi w:val="0"/>
              <w:spacing w:before="0" w:after="283"/>
              <w:jc w:val="right"/>
              <w:rPr/>
            </w:pPr>
            <w:r>
              <w:rPr/>
              <w:t>2,062,519</w:t>
            </w:r>
            <w:r>
              <w:rPr>
                <w:sz w:val="13"/>
              </w:rPr>
              <w:t>(1)</w:t>
            </w:r>
          </w:p>
        </w:tc>
        <w:tc>
          <w:tcPr>
            <w:tcW w:w="128" w:type="dxa"/>
            <w:tcBorders/>
            <w:shd w:fill="CCCCCC" w:val="clear"/>
            <w:tcMar>
              <w:bottom w:w="0" w:type="dxa"/>
            </w:tcMar>
            <w:vAlign w:val="center"/>
          </w:tcPr>
          <w:p>
            <w:pPr>
              <w:pStyle w:val="TableContents"/>
              <w:bidi w:val="0"/>
              <w:spacing w:before="0" w:after="283"/>
              <w:jc w:val="left"/>
              <w:rPr/>
            </w:pPr>
            <w:r>
              <w:rPr/>
              <w:t>​</w:t>
            </w:r>
          </w:p>
        </w:tc>
        <w:tc>
          <w:tcPr>
            <w:tcW w:w="155"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“target” payout level of outstanding unvested PSUs. Taking into account the maximum potential payout level of our outstanding unvested PSUs, then, as of April 1, 2024, only 579,728 shares of our Class A common stock would be available for awards under our Current Plan. </w:t>
      </w:r>
      <w:r>
        <mc:AlternateContent>
          <mc:Choice Requires="wps">
            <w:drawing>
              <wp:anchor behindDoc="0" distT="11684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2"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648" w:type="dxa"/>
        <w:jc w:val="left"/>
        <w:tblInd w:w="1393" w:type="dxa"/>
        <w:tblLayout w:type="fixed"/>
        <w:tblCellMar>
          <w:top w:w="0" w:type="dxa"/>
          <w:left w:w="0" w:type="dxa"/>
          <w:bottom w:w="28" w:type="dxa"/>
          <w:right w:w="0" w:type="dxa"/>
        </w:tblCellMar>
      </w:tblPr>
      <w:tblGrid>
        <w:gridCol w:w="124"/>
        <w:gridCol w:w="6157"/>
        <w:gridCol w:w="109"/>
        <w:gridCol w:w="109"/>
        <w:gridCol w:w="125"/>
        <w:gridCol w:w="125"/>
        <w:gridCol w:w="1620"/>
        <w:gridCol w:w="125"/>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6157"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95" w:type="dxa"/>
            <w:gridSpan w:val="4"/>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As of April 1, 2024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6157" w:type="dxa"/>
            <w:tcBorders/>
            <w:shd w:fill="CCCCCC" w:val="clear"/>
            <w:tcMar>
              <w:bottom w:w="0" w:type="dxa"/>
            </w:tcMar>
            <w:vAlign w:val="center"/>
          </w:tcPr>
          <w:p>
            <w:pPr>
              <w:pStyle w:val="TableContents"/>
              <w:bidi w:val="0"/>
              <w:spacing w:before="0" w:after="283"/>
              <w:jc w:val="left"/>
              <w:rPr>
                <w:spacing w:val="4"/>
              </w:rPr>
            </w:pPr>
            <w:r>
              <w:rPr>
                <w:spacing w:val="4"/>
              </w:rPr>
              <w:t xml:space="preserve">Total number of shares of Class A common stock outstanding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5" w:type="dxa"/>
            <w:tcBorders/>
            <w:shd w:fill="CCCCCC" w:val="clear"/>
            <w:tcMar>
              <w:bottom w:w="0" w:type="dxa"/>
            </w:tcMar>
            <w:vAlign w:val="center"/>
          </w:tcPr>
          <w:p>
            <w:pPr>
              <w:pStyle w:val="TableContents"/>
              <w:bidi w:val="0"/>
              <w:spacing w:before="0" w:after="283"/>
              <w:jc w:val="left"/>
              <w:rPr/>
            </w:pPr>
            <w:r>
              <w:rPr/>
              <w:t>​</w:t>
            </w:r>
          </w:p>
        </w:tc>
        <w:tc>
          <w:tcPr>
            <w:tcW w:w="125" w:type="dxa"/>
            <w:tcBorders/>
            <w:shd w:fill="CCCCCC" w:val="clear"/>
            <w:tcMar>
              <w:bottom w:w="0" w:type="dxa"/>
            </w:tcMar>
            <w:vAlign w:val="center"/>
          </w:tcPr>
          <w:p>
            <w:pPr>
              <w:pStyle w:val="TableContents"/>
              <w:bidi w:val="0"/>
              <w:spacing w:before="0" w:after="283"/>
              <w:jc w:val="right"/>
              <w:rPr/>
            </w:pPr>
            <w:r>
              <w:rPr/>
              <w:t>​</w:t>
            </w:r>
          </w:p>
        </w:tc>
        <w:tc>
          <w:tcPr>
            <w:tcW w:w="1620" w:type="dxa"/>
            <w:tcBorders/>
            <w:shd w:fill="CCCCCC" w:val="clear"/>
            <w:tcMar>
              <w:bottom w:w="0" w:type="dxa"/>
            </w:tcMar>
            <w:vAlign w:val="center"/>
          </w:tcPr>
          <w:p>
            <w:pPr>
              <w:pStyle w:val="TableContents"/>
              <w:bidi w:val="0"/>
              <w:spacing w:before="0" w:after="283"/>
              <w:jc w:val="right"/>
              <w:rPr/>
            </w:pPr>
            <w:r>
              <w:rPr/>
              <w:t>91,493,792</w:t>
            </w:r>
            <w:r>
              <w:rPr>
                <w:sz w:val="13"/>
              </w:rPr>
              <w:t>(1)</w:t>
            </w:r>
            <w:r>
              <w:rPr/>
              <w:t xml:space="preserve"> </w:t>
            </w:r>
          </w:p>
        </w:tc>
        <w:tc>
          <w:tcPr>
            <w:tcW w:w="125"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57" w:type="dxa"/>
            <w:tcBorders/>
            <w:tcMar>
              <w:bottom w:w="0" w:type="dxa"/>
            </w:tcMar>
            <w:vAlign w:val="center"/>
          </w:tcPr>
          <w:p>
            <w:pPr>
              <w:pStyle w:val="TableContents"/>
              <w:bidi w:val="0"/>
              <w:spacing w:before="0" w:after="283"/>
              <w:jc w:val="left"/>
              <w:rPr>
                <w:spacing w:val="4"/>
              </w:rPr>
            </w:pPr>
            <w:r>
              <w:rPr>
                <w:spacing w:val="4"/>
              </w:rPr>
              <w:t xml:space="preserve">Total number of Post-Merger Repay Units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620" w:type="dxa"/>
            <w:tcBorders/>
            <w:tcMar>
              <w:bottom w:w="0" w:type="dxa"/>
            </w:tcMar>
            <w:vAlign w:val="center"/>
          </w:tcPr>
          <w:p>
            <w:pPr>
              <w:pStyle w:val="TableContents"/>
              <w:bidi w:val="0"/>
              <w:spacing w:before="0" w:after="283"/>
              <w:jc w:val="right"/>
              <w:rPr/>
            </w:pPr>
            <w:r>
              <w:rPr/>
              <w:t>5,844,095</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unvested RSAs. </w:t>
      </w:r>
      <w:r>
        <mc:AlternateContent>
          <mc:Choice Requires="wps">
            <w:drawing>
              <wp:anchor behindDoc="0" distT="11684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3"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calculate that the total potential dilution resulting from issuing all shares authorized under our equity plans as of April 1, 2024 (including the 8,400,000 additional shares that would be available if shareholders approve the Second Amended and Restated Plan) would be approximately 15.4%. This dilution rate is calculated as follows: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Class A common stock available for grant + outstanding equity awards) ÷ (shares of Class A common stock available for grant + outstanding equity awards + shares of Class A common stock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calculation, (i) outstanding unvested PSUs are reflected at the “target” payout level, (ii) outstanding equity awards include unvested RSAs (but such unvested RSAs are not also included in shares of Class A common stock outstanding) and (iii) shares of Class A common stock outstanding include the number of shares of Class A common stock for which Post-Merger Repay Units outstanding may be exchanged.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Historical Burn Rate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managing the use of our equity incentives prudently to balance the benefits equity compensation brings to our compensation programs against the dilution it causes our stockholders. As part of our analysis when considering the number of shares to be included in the Second Amended and Restated Plan, we considered our equity incentive plans’ “burn rate” for each of the three fiscal years ending December 31, 2023, as further detailed in the following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2935"/>
        <w:gridCol w:w="109"/>
        <w:gridCol w:w="109"/>
        <w:gridCol w:w="113"/>
        <w:gridCol w:w="113"/>
        <w:gridCol w:w="1235"/>
        <w:gridCol w:w="113"/>
        <w:gridCol w:w="109"/>
        <w:gridCol w:w="109"/>
        <w:gridCol w:w="113"/>
        <w:gridCol w:w="113"/>
        <w:gridCol w:w="1235"/>
        <w:gridCol w:w="113"/>
        <w:gridCol w:w="109"/>
        <w:gridCol w:w="109"/>
        <w:gridCol w:w="113"/>
        <w:gridCol w:w="113"/>
        <w:gridCol w:w="1235"/>
        <w:gridCol w:w="113"/>
        <w:gridCol w:w="109"/>
        <w:gridCol w:w="159"/>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935"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574" w:type="dxa"/>
            <w:gridSpan w:val="4"/>
            <w:tcBorders>
              <w:bottom w:val="single" w:sz="2" w:space="0" w:color="000000"/>
            </w:tcBorders>
            <w:shd w:fill="FFFFFF" w:val="clear"/>
            <w:tcMar>
              <w:bottom w:w="45" w:type="dxa"/>
            </w:tcMar>
            <w:vAlign w:val="center"/>
          </w:tcPr>
          <w:p>
            <w:pPr>
              <w:pStyle w:val="TableContents"/>
              <w:bidi w:val="0"/>
              <w:spacing w:before="0" w:after="0"/>
              <w:jc w:val="center"/>
              <w:rPr>
                <w:spacing w:val="-3"/>
              </w:rPr>
            </w:pPr>
            <w:r>
              <w:rPr>
                <w:spacing w:val="-3"/>
              </w:rPr>
              <w:t xml:space="preserve">Fiscal Year 2023 </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574" w:type="dxa"/>
            <w:gridSpan w:val="4"/>
            <w:tcBorders>
              <w:bottom w:val="single" w:sz="2" w:space="0" w:color="000000"/>
            </w:tcBorders>
            <w:shd w:fill="FFFFFF" w:val="clear"/>
            <w:tcMar>
              <w:bottom w:w="45" w:type="dxa"/>
            </w:tcMar>
            <w:vAlign w:val="center"/>
          </w:tcPr>
          <w:p>
            <w:pPr>
              <w:pStyle w:val="TableContents"/>
              <w:bidi w:val="0"/>
              <w:spacing w:before="0" w:after="0"/>
              <w:jc w:val="center"/>
              <w:rPr>
                <w:spacing w:val="-3"/>
              </w:rPr>
            </w:pPr>
            <w:r>
              <w:rPr>
                <w:spacing w:val="-3"/>
              </w:rPr>
              <w:t xml:space="preserve">Fiscal Year 2022 </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574" w:type="dxa"/>
            <w:gridSpan w:val="4"/>
            <w:tcBorders>
              <w:bottom w:val="single" w:sz="2" w:space="0" w:color="000000"/>
            </w:tcBorders>
            <w:shd w:fill="FFFFFF" w:val="clear"/>
            <w:tcMar>
              <w:bottom w:w="45" w:type="dxa"/>
            </w:tcMar>
            <w:vAlign w:val="center"/>
          </w:tcPr>
          <w:p>
            <w:pPr>
              <w:pStyle w:val="TableContents"/>
              <w:bidi w:val="0"/>
              <w:spacing w:before="0" w:after="0"/>
              <w:jc w:val="center"/>
              <w:rPr>
                <w:spacing w:val="-3"/>
              </w:rPr>
            </w:pPr>
            <w:r>
              <w:rPr>
                <w:spacing w:val="-3"/>
              </w:rPr>
              <w:t xml:space="preserve">Fiscal Year 2021 </w:t>
            </w:r>
          </w:p>
        </w:tc>
        <w:tc>
          <w:tcPr>
            <w:tcW w:w="109" w:type="dxa"/>
            <w:tcBorders>
              <w:bottom w:val="single" w:sz="2" w:space="0" w:color="000000"/>
            </w:tcBorders>
            <w:shd w:fill="FFFFFF" w:val="clear"/>
            <w:vAlign w:val="center"/>
          </w:tcPr>
          <w:p>
            <w:pPr>
              <w:pStyle w:val="TableContents"/>
              <w:bidi w:val="0"/>
              <w:spacing w:before="0" w:after="283"/>
              <w:jc w:val="left"/>
              <w:rPr/>
            </w:pPr>
            <w:r>
              <w:rPr/>
              <w:t>​</w:t>
            </w:r>
          </w:p>
        </w:tc>
        <w:tc>
          <w:tcPr>
            <w:tcW w:w="159" w:type="dxa"/>
            <w:tcBorders>
              <w:bottom w:val="single" w:sz="2" w:space="0" w:color="000000"/>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935" w:type="dxa"/>
            <w:tcBorders/>
            <w:shd w:fill="CCCCCC" w:val="clear"/>
            <w:tcMar>
              <w:bottom w:w="0" w:type="dxa"/>
            </w:tcMar>
            <w:vAlign w:val="center"/>
          </w:tcPr>
          <w:p>
            <w:pPr>
              <w:pStyle w:val="TableContents"/>
              <w:bidi w:val="0"/>
              <w:spacing w:before="0" w:after="283"/>
              <w:jc w:val="left"/>
              <w:rPr>
                <w:spacing w:val="4"/>
              </w:rPr>
            </w:pPr>
            <w:r>
              <w:rPr>
                <w:spacing w:val="4"/>
              </w:rPr>
              <w:t xml:space="preserve">PSOs Granted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1,148,822</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5" w:type="dxa"/>
            <w:tcBorders/>
            <w:tcMar>
              <w:bottom w:w="0" w:type="dxa"/>
            </w:tcMar>
            <w:vAlign w:val="center"/>
          </w:tcPr>
          <w:p>
            <w:pPr>
              <w:pStyle w:val="TableContents"/>
              <w:bidi w:val="0"/>
              <w:spacing w:before="0" w:after="283"/>
              <w:jc w:val="left"/>
              <w:rPr>
                <w:spacing w:val="4"/>
              </w:rPr>
            </w:pPr>
            <w:r>
              <w:rPr>
                <w:spacing w:val="4"/>
              </w:rPr>
              <w:t xml:space="preserve">RSAs/RSUs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2,898,860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1,446,454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722,170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935" w:type="dxa"/>
            <w:tcBorders/>
            <w:shd w:fill="CCCCCC" w:val="clear"/>
            <w:tcMar>
              <w:bottom w:w="0" w:type="dxa"/>
            </w:tcMar>
            <w:vAlign w:val="center"/>
          </w:tcPr>
          <w:p>
            <w:pPr>
              <w:pStyle w:val="TableContents"/>
              <w:bidi w:val="0"/>
              <w:spacing w:before="0" w:after="283"/>
              <w:jc w:val="left"/>
              <w:rPr>
                <w:spacing w:val="4"/>
              </w:rPr>
            </w:pPr>
            <w:r>
              <w:rPr>
                <w:spacing w:val="4"/>
              </w:rPr>
              <w:t xml:space="preserve">PSUs Granted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1,102,497</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390,227</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272,117</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5" w:type="dxa"/>
            <w:tcBorders/>
            <w:tcMar>
              <w:bottom w:w="0" w:type="dxa"/>
            </w:tcMar>
            <w:vAlign w:val="center"/>
          </w:tcPr>
          <w:p>
            <w:pPr>
              <w:pStyle w:val="TableContents"/>
              <w:bidi w:val="0"/>
              <w:spacing w:before="0" w:after="283"/>
              <w:jc w:val="left"/>
              <w:rPr>
                <w:spacing w:val="4"/>
              </w:rPr>
            </w:pPr>
            <w:r>
              <w:rPr>
                <w:spacing w:val="4"/>
              </w:rPr>
              <w:t xml:space="preserve">PSUs Vested/Earned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935" w:type="dxa"/>
            <w:tcBorders/>
            <w:shd w:fill="CCCCCC" w:val="clear"/>
            <w:tcMar>
              <w:bottom w:w="0" w:type="dxa"/>
            </w:tcMar>
            <w:vAlign w:val="center"/>
          </w:tcPr>
          <w:p>
            <w:pPr>
              <w:pStyle w:val="TableContents"/>
              <w:bidi w:val="0"/>
              <w:spacing w:before="0" w:after="283"/>
              <w:jc w:val="left"/>
              <w:rPr>
                <w:spacing w:val="4"/>
              </w:rPr>
            </w:pPr>
            <w:r>
              <w:rPr>
                <w:spacing w:val="4"/>
              </w:rPr>
              <w:t xml:space="preserve">Total Shares Subject to Awards Granted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5,150,179</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1,836,681</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994,287</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5" w:type="dxa"/>
            <w:tcBorders/>
            <w:tcMar>
              <w:bottom w:w="0" w:type="dxa"/>
            </w:tcMar>
            <w:vAlign w:val="center"/>
          </w:tcPr>
          <w:p>
            <w:pPr>
              <w:pStyle w:val="TableContents"/>
              <w:bidi w:val="0"/>
              <w:spacing w:before="0" w:after="0"/>
              <w:ind w:left="200" w:right="0" w:hanging="200"/>
              <w:jc w:val="left"/>
              <w:rPr/>
            </w:pPr>
            <w:r>
              <w:rPr>
                <w:spacing w:val="4"/>
              </w:rPr>
              <w:t>Weighted Average Number of Shares of Class A Common Stock Outstanding</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96,850,559</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96,684,629</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35" w:type="dxa"/>
            <w:tcBorders/>
            <w:tcMar>
              <w:bottom w:w="0" w:type="dxa"/>
            </w:tcMar>
            <w:vAlign w:val="center"/>
          </w:tcPr>
          <w:p>
            <w:pPr>
              <w:pStyle w:val="TableContents"/>
              <w:bidi w:val="0"/>
              <w:spacing w:before="0" w:after="283"/>
              <w:jc w:val="right"/>
              <w:rPr/>
            </w:pPr>
            <w:r>
              <w:rPr/>
              <w:t>91,264,512</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935" w:type="dxa"/>
            <w:tcBorders/>
            <w:shd w:fill="CCCCCC" w:val="clear"/>
            <w:tcMar>
              <w:bottom w:w="0" w:type="dxa"/>
            </w:tcMar>
            <w:vAlign w:val="center"/>
          </w:tcPr>
          <w:p>
            <w:pPr>
              <w:pStyle w:val="TableContents"/>
              <w:bidi w:val="0"/>
              <w:spacing w:before="0" w:after="283"/>
              <w:jc w:val="left"/>
              <w:rPr/>
            </w:pPr>
            <w:r>
              <w:rPr>
                <w:spacing w:val="4"/>
              </w:rPr>
              <w:t>Burn Rate</w:t>
            </w:r>
            <w:r>
              <w:rPr>
                <w:spacing w:val="3"/>
                <w:sz w:val="13"/>
              </w:rPr>
              <w:t>(2)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5.3%</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1.9%</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left"/>
              <w:rPr/>
            </w:pPr>
            <w:r>
              <w:rPr/>
              <w:t>​</w:t>
            </w:r>
          </w:p>
        </w:tc>
        <w:tc>
          <w:tcPr>
            <w:tcW w:w="113" w:type="dxa"/>
            <w:tcBorders/>
            <w:shd w:fill="CCCCCC" w:val="clear"/>
            <w:tcMar>
              <w:bottom w:w="0" w:type="dxa"/>
            </w:tcMar>
            <w:vAlign w:val="center"/>
          </w:tcPr>
          <w:p>
            <w:pPr>
              <w:pStyle w:val="TableContents"/>
              <w:bidi w:val="0"/>
              <w:spacing w:before="0" w:after="283"/>
              <w:jc w:val="right"/>
              <w:rPr/>
            </w:pPr>
            <w:r>
              <w:rPr/>
              <w:t>​</w:t>
            </w:r>
          </w:p>
        </w:tc>
        <w:tc>
          <w:tcPr>
            <w:tcW w:w="1235" w:type="dxa"/>
            <w:tcBorders/>
            <w:shd w:fill="CCCCCC" w:val="clear"/>
            <w:tcMar>
              <w:bottom w:w="0" w:type="dxa"/>
            </w:tcMar>
            <w:vAlign w:val="center"/>
          </w:tcPr>
          <w:p>
            <w:pPr>
              <w:pStyle w:val="TableContents"/>
              <w:bidi w:val="0"/>
              <w:spacing w:before="0" w:after="283"/>
              <w:jc w:val="right"/>
              <w:rPr/>
            </w:pPr>
            <w:r>
              <w:rPr/>
              <w:t xml:space="preserve">1.1% </w:t>
            </w:r>
          </w:p>
        </w:tc>
        <w:tc>
          <w:tcPr>
            <w:tcW w:w="113"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519" w:type="dxa"/>
            <w:gridSpan w:val="13"/>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tcMar>
              <w:bottom w:w="45" w:type="dxa"/>
            </w:tcMar>
            <w:vAlign w:val="center"/>
          </w:tcPr>
          <w:p>
            <w:pPr>
              <w:pStyle w:val="TableContents"/>
              <w:bidi w:val="0"/>
              <w:spacing w:before="0" w:after="283"/>
              <w:jc w:val="right"/>
              <w:rPr/>
            </w:pPr>
            <w:r>
              <w:rPr/>
              <w:t>​</w:t>
            </w:r>
          </w:p>
        </w:tc>
        <w:tc>
          <w:tcPr>
            <w:tcW w:w="1235" w:type="dxa"/>
            <w:tcBorders>
              <w:bottom w:val="single" w:sz="2" w:space="0" w:color="000000"/>
            </w:tcBorders>
            <w:tcMar>
              <w:bottom w:w="45" w:type="dxa"/>
            </w:tcMar>
            <w:vAlign w:val="center"/>
          </w:tcPr>
          <w:p>
            <w:pPr>
              <w:pStyle w:val="TableContents"/>
              <w:bidi w:val="0"/>
              <w:spacing w:before="0" w:after="283"/>
              <w:jc w:val="right"/>
              <w:rPr/>
            </w:pPr>
            <w:r>
              <w:rPr/>
              <w:t>   </w:t>
            </w:r>
          </w:p>
        </w:tc>
        <w:tc>
          <w:tcPr>
            <w:tcW w:w="11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935" w:type="dxa"/>
            <w:tcBorders>
              <w:bottom w:val="single" w:sz="2" w:space="0" w:color="000000"/>
            </w:tcBorders>
            <w:tcMar>
              <w:bottom w:w="45" w:type="dxa"/>
            </w:tcMar>
            <w:vAlign w:val="center"/>
          </w:tcPr>
          <w:p>
            <w:pPr>
              <w:pStyle w:val="TableContents"/>
              <w:bidi w:val="0"/>
              <w:spacing w:before="0" w:after="0"/>
              <w:ind w:left="600" w:right="0" w:hanging="0"/>
              <w:jc w:val="left"/>
              <w:rPr/>
            </w:pPr>
            <w:r>
              <w:rPr>
                <w:spacing w:val="-4"/>
              </w:rPr>
              <w:t>Three-Year Average Burn Rate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tcMar>
              <w:bottom w:w="45" w:type="dxa"/>
            </w:tcMar>
            <w:vAlign w:val="center"/>
          </w:tcPr>
          <w:p>
            <w:pPr>
              <w:pStyle w:val="TableContents"/>
              <w:bidi w:val="0"/>
              <w:spacing w:before="0" w:after="283"/>
              <w:jc w:val="right"/>
              <w:rPr/>
            </w:pPr>
            <w:r>
              <w:rPr/>
              <w:t>​</w:t>
            </w:r>
          </w:p>
        </w:tc>
        <w:tc>
          <w:tcPr>
            <w:tcW w:w="1235" w:type="dxa"/>
            <w:tcBorders>
              <w:bottom w:val="single" w:sz="2" w:space="0" w:color="000000"/>
            </w:tcBorders>
            <w:tcMar>
              <w:bottom w:w="45" w:type="dxa"/>
            </w:tcMar>
            <w:vAlign w:val="center"/>
          </w:tcPr>
          <w:p>
            <w:pPr>
              <w:pStyle w:val="TableContents"/>
              <w:bidi w:val="0"/>
              <w:spacing w:before="0" w:after="283"/>
              <w:jc w:val="right"/>
              <w:rPr/>
            </w:pPr>
            <w:r>
              <w:rPr/>
              <w:t>​</w:t>
            </w:r>
          </w:p>
        </w:tc>
        <w:tc>
          <w:tcPr>
            <w:tcW w:w="11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74" w:type="dxa"/>
            <w:gridSpan w:val="4"/>
            <w:tcBorders>
              <w:bottom w:val="single" w:sz="2" w:space="0" w:color="000000"/>
            </w:tcBorders>
            <w:tcMar>
              <w:bottom w:w="45" w:type="dxa"/>
            </w:tcMar>
            <w:vAlign w:val="center"/>
          </w:tcPr>
          <w:p>
            <w:pPr>
              <w:pStyle w:val="TableContents"/>
              <w:bidi w:val="0"/>
              <w:spacing w:before="0" w:after="283"/>
              <w:jc w:val="left"/>
              <w:rPr/>
            </w:pPr>
            <w:r>
              <w:rPr>
                <w:spacing w:val="-4"/>
              </w:rPr>
              <w:t>2.8%</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vAlign w:val="center"/>
          </w:tcPr>
          <w:p>
            <w:pPr>
              <w:pStyle w:val="TableContents"/>
              <w:bidi w:val="0"/>
              <w:spacing w:before="0" w:after="283"/>
              <w:jc w:val="left"/>
              <w:rPr/>
            </w:pPr>
            <w:r>
              <w:rPr/>
              <w:t>​</w:t>
            </w:r>
          </w:p>
        </w:tc>
        <w:tc>
          <w:tcPr>
            <w:tcW w:w="113" w:type="dxa"/>
            <w:tcBorders>
              <w:bottom w:val="single" w:sz="2" w:space="0" w:color="000000"/>
            </w:tcBorders>
            <w:tcMar>
              <w:bottom w:w="45" w:type="dxa"/>
            </w:tcMar>
            <w:vAlign w:val="center"/>
          </w:tcPr>
          <w:p>
            <w:pPr>
              <w:pStyle w:val="TableContents"/>
              <w:bidi w:val="0"/>
              <w:spacing w:before="0" w:after="0"/>
              <w:jc w:val="right"/>
              <w:rPr/>
            </w:pPr>
            <w:r>
              <w:rPr/>
              <w:t>​</w:t>
            </w:r>
          </w:p>
        </w:tc>
        <w:tc>
          <w:tcPr>
            <w:tcW w:w="1235" w:type="dxa"/>
            <w:tcBorders>
              <w:bottom w:val="single" w:sz="2" w:space="0" w:color="000000"/>
            </w:tcBorders>
            <w:tcMar>
              <w:bottom w:w="45" w:type="dxa"/>
            </w:tcMar>
            <w:vAlign w:val="center"/>
          </w:tcPr>
          <w:p>
            <w:pPr>
              <w:pStyle w:val="TableContents"/>
              <w:bidi w:val="0"/>
              <w:spacing w:before="0" w:after="0"/>
              <w:jc w:val="right"/>
              <w:rPr/>
            </w:pPr>
            <w:r>
              <w:rPr/>
              <w:t>   </w:t>
            </w:r>
          </w:p>
        </w:tc>
        <w:tc>
          <w:tcPr>
            <w:tcW w:w="11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shd w:fill="000000"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the number of shares of Class A common stock for which Post-Merger Repay Units outstanding may be exchanged. </w:t>
      </w:r>
      <w:r>
        <mc:AlternateContent>
          <mc:Choice Requires="wps">
            <w:drawing>
              <wp:anchor behindDoc="0" distT="9779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4"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(i) Total Shares Subject to Awards Granted, divided by (ii) Weighted Average Number of Shares of Class A Common Stock Outstanding. </w:t>
      </w:r>
      <w:r>
        <mc:AlternateContent>
          <mc:Choice Requires="wps">
            <w:drawing>
              <wp:anchor behindDoc="0" distT="4699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5"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Expected 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shares available under the Second Amended and Restated Plan for future awards, if the Second Amended and Restated Plan is approved by our stockholders, will be sufficient for currently-anticipated awards for the next three years. Expectations regarding future share usage could be impacted by a number of factors such as: (i) the future performance of our stock price; (ii) hiring and promotion activity at the executive level; (iii) the rate at which shares are returned to the Second Amended and Restated Plan’s reserve upon awards’ expiration, forfeiture or cash settlement without the issuance of the underlying shares; (iv) factors involved in acquiring other companies; and (v) other factors. While we believe that the assumptions used are reasonable, future share usage may differ from current expectations.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Material Terms of the Second Amended and Restated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summary is not a complete statement of the Second Amended and Restated Plan and is qualified in its entirety by reference to the complete text of the Second Amended and Restated Plan, a copy of which is attached hereto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purposes of the Second Amended and Restated Plan are to recognize contributions made to the Company and its affiliates by its employees, directors, consultants and advisors, to provide such persons with additional incentive to devote themselves to the future success of the Company and to improve the ability of the Company to attract, retain and motivate individuals upon whom the Company’s sustained growth and financial success depend. These incentives are provided through the grant of stock options, stock appreciation rights, restricted stock, restricted stock units and dividend equivalent rights. Any of these awards may, but need not, be made as performance incentives.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Shares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number of shares of Class A common stock available for awards under the Second Amended and Restated Plan shall be increased by 8,400,000 shares. The aggregate number of shares available for awards under the Second Amended and Restated Plan shall be reduced on a one-for-one basis by the number of shares issued or issuable under the Second Amended and Restated Plan and/or the Current Plan and increased by that number of shares subject to awards granted under the Second Amended and Restated Plan or the Current Plan which later become available in accordance with the provisions below. All of such shares may be granted as incentive stock options. Upon settlement of a stock-settled stock appreciation right, the total number of shares available for issuance under the Second Amended and Restated Plan shall be reduced by the gross number of shares with respect to which the stock appreciation right is exercised.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shares covered by an award are not purchased or are forfeited or expire, or otherwise terminate without delivery of any shares subject thereto, then such shares will, to the extent of any such forfeiture, termination, cash-settlement or expiration, be available for future grant under the Second Amended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Restated Plan. If any shares subject to an option or stock-settled stock appreciation right are withheld for payment of the purchase or exercise price or for payment of taxes, such withheld shares will be treated as granted and will not again be available for future grants. If any shares subject to a full-value award are withheld for payment of taxes, such withheld shares will again be available for future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limited share availability under the Current Plan at the time the Compensation Committee made 2024 annual equity grants, the Compensation Committee decided to defer the grant of performance-based restricted stock units to the Company’s executive management team that would have otherwise been made as part of the 2024 annual equity grant program of the Company. If the Second Amended and Restated Plan is approved by our stockholders, then the Company anticipates the grant of performance-based restricted stock units in the approximate amounts below promptly following such approval as part of the 2024 annual equity grant program of the Company and otherwise consistent with the annual equity grant practices of the Company. However, no such awards have been granted at this time, and the granting of such awards is at the ultimate discretion of the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Amended and Restated Repay Holdings Corporation Omnibus Incentive Plan</w:t>
      </w:r>
      <w:r>
        <w:rPr>
          <w:rFonts w:ascii="Times New Roman;Times;serif" w:hAnsi="Times New Roman;Times;serif"/>
          <w:b/>
          <w:i w:val="false"/>
          <w:caps w:val="false"/>
          <w:smallCaps w:val="false"/>
          <w:color w:val="000000"/>
          <w:spacing w:val="4"/>
          <w:sz w:val="20"/>
        </w:rPr>
        <w:t xml:space="preserve"> </w:t>
      </w:r>
    </w:p>
    <w:tbl>
      <w:tblPr>
        <w:tblW w:w="8662" w:type="dxa"/>
        <w:jc w:val="left"/>
        <w:tblInd w:w="1393" w:type="dxa"/>
        <w:tblLayout w:type="fixed"/>
        <w:tblCellMar>
          <w:top w:w="0" w:type="dxa"/>
          <w:left w:w="0" w:type="dxa"/>
          <w:bottom w:w="28" w:type="dxa"/>
          <w:right w:w="0" w:type="dxa"/>
        </w:tblCellMar>
      </w:tblPr>
      <w:tblGrid>
        <w:gridCol w:w="124"/>
        <w:gridCol w:w="4286"/>
        <w:gridCol w:w="109"/>
        <w:gridCol w:w="109"/>
        <w:gridCol w:w="132"/>
        <w:gridCol w:w="132"/>
        <w:gridCol w:w="1290"/>
        <w:gridCol w:w="132"/>
        <w:gridCol w:w="109"/>
        <w:gridCol w:w="109"/>
        <w:gridCol w:w="177"/>
        <w:gridCol w:w="177"/>
        <w:gridCol w:w="1443"/>
        <w:gridCol w:w="179"/>
        <w:gridCol w:w="15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4286"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86"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Dollar Value ($)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76" w:type="dxa"/>
            <w:gridSpan w:val="4"/>
            <w:tcBorders>
              <w:bottom w:val="single" w:sz="2" w:space="0" w:color="000000"/>
            </w:tcBorders>
            <w:shd w:fill="FFFFFF" w:val="clear"/>
            <w:tcMar>
              <w:bottom w:w="43" w:type="dxa"/>
            </w:tcMar>
            <w:vAlign w:val="center"/>
          </w:tcPr>
          <w:p>
            <w:pPr>
              <w:pStyle w:val="TableContents"/>
              <w:bidi w:val="0"/>
              <w:spacing w:lineRule="atLeast" w:line="142" w:before="0" w:after="0"/>
              <w:jc w:val="center"/>
              <w:rPr/>
            </w:pPr>
            <w:r>
              <w:rPr>
                <w:spacing w:val="-3"/>
              </w:rPr>
              <w:t xml:space="preserve">Number of </w:t>
              <w:br/>
              <w:t xml:space="preserve">Performance-Based </w:t>
              <w:br/>
              <w:t xml:space="preserve">Restricted Stock </w:t>
              <w:br/>
              <w:t>Units</w:t>
            </w:r>
            <w:r>
              <w:rPr>
                <w:spacing w:val="-2"/>
                <w:sz w:val="10"/>
              </w:rPr>
              <w:t>(1)</w:t>
            </w:r>
            <w:r>
              <w:rPr/>
              <w:t xml:space="preserve"> </w:t>
            </w:r>
          </w:p>
        </w:tc>
        <w:tc>
          <w:tcPr>
            <w:tcW w:w="15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86" w:type="dxa"/>
            <w:tcBorders/>
            <w:shd w:fill="CCCCCC" w:val="clear"/>
            <w:tcMar>
              <w:bottom w:w="0" w:type="dxa"/>
            </w:tcMar>
            <w:vAlign w:val="center"/>
          </w:tcPr>
          <w:p>
            <w:pPr>
              <w:pStyle w:val="TableContents"/>
              <w:bidi w:val="0"/>
              <w:spacing w:before="0" w:after="0"/>
              <w:jc w:val="left"/>
              <w:rPr>
                <w:b/>
              </w:rPr>
            </w:pPr>
            <w:r>
              <w:rPr>
                <w:b/>
                <w:spacing w:val="-4"/>
              </w:rPr>
              <w:t>John Morris</w:t>
            </w:r>
            <w:r>
              <w:rPr>
                <w:b/>
                <w:spacing w:val="4"/>
              </w:rPr>
              <w:t xml:space="preserve"> </w:t>
            </w:r>
            <w:r>
              <w:rPr>
                <w:b w:val="false"/>
                <w:spacing w:val="4"/>
              </w:rPr>
              <w:t xml:space="preserve">Chief Executive Officer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right"/>
              <w:rPr/>
            </w:pPr>
            <w:r>
              <w:rPr/>
              <w:t>​</w:t>
            </w:r>
          </w:p>
        </w:tc>
        <w:tc>
          <w:tcPr>
            <w:tcW w:w="1290" w:type="dxa"/>
            <w:tcBorders/>
            <w:shd w:fill="CCCCCC" w:val="clear"/>
            <w:tcMar>
              <w:bottom w:w="0" w:type="dxa"/>
            </w:tcMar>
            <w:vAlign w:val="center"/>
          </w:tcPr>
          <w:p>
            <w:pPr>
              <w:pStyle w:val="TableContents"/>
              <w:bidi w:val="0"/>
              <w:spacing w:before="0" w:after="283"/>
              <w:jc w:val="right"/>
              <w:rPr/>
            </w:pPr>
            <w:r>
              <w:rPr/>
              <w:t>3,250,000</w:t>
            </w:r>
          </w:p>
        </w:tc>
        <w:tc>
          <w:tcPr>
            <w:tcW w:w="132"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1443" w:type="dxa"/>
            <w:tcBorders/>
            <w:shd w:fill="CCCCCC" w:val="clear"/>
            <w:tcMar>
              <w:bottom w:w="0" w:type="dxa"/>
            </w:tcMar>
            <w:vAlign w:val="center"/>
          </w:tcPr>
          <w:p>
            <w:pPr>
              <w:pStyle w:val="TableContents"/>
              <w:bidi w:val="0"/>
              <w:spacing w:before="0" w:after="283"/>
              <w:jc w:val="right"/>
              <w:rPr/>
            </w:pPr>
            <w:r>
              <w:rPr/>
              <w:t>380,562</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86" w:type="dxa"/>
            <w:tcBorders/>
            <w:tcMar>
              <w:bottom w:w="0" w:type="dxa"/>
            </w:tcMar>
            <w:vAlign w:val="center"/>
          </w:tcPr>
          <w:p>
            <w:pPr>
              <w:pStyle w:val="TableContents"/>
              <w:bidi w:val="0"/>
              <w:spacing w:before="0" w:after="0"/>
              <w:jc w:val="left"/>
              <w:rPr>
                <w:b/>
              </w:rPr>
            </w:pPr>
            <w:r>
              <w:rPr>
                <w:b/>
                <w:spacing w:val="-4"/>
              </w:rPr>
              <w:t>Tim Murphy</w:t>
            </w:r>
            <w:r>
              <w:rPr>
                <w:b/>
                <w:spacing w:val="4"/>
              </w:rPr>
              <w:t xml:space="preserve"> </w:t>
            </w:r>
            <w:r>
              <w:rPr>
                <w:b w:val="false"/>
                <w:spacing w:val="4"/>
              </w:rPr>
              <w:t xml:space="preserve">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865,000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1443" w:type="dxa"/>
            <w:tcBorders/>
            <w:tcMar>
              <w:bottom w:w="0" w:type="dxa"/>
            </w:tcMar>
            <w:vAlign w:val="center"/>
          </w:tcPr>
          <w:p>
            <w:pPr>
              <w:pStyle w:val="TableContents"/>
              <w:bidi w:val="0"/>
              <w:spacing w:before="0" w:after="283"/>
              <w:jc w:val="right"/>
              <w:rPr/>
            </w:pPr>
            <w:r>
              <w:rPr/>
              <w:t>101,288</w:t>
            </w:r>
          </w:p>
        </w:tc>
        <w:tc>
          <w:tcPr>
            <w:tcW w:w="17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86" w:type="dxa"/>
            <w:tcBorders/>
            <w:shd w:fill="CCCCCC" w:val="clear"/>
            <w:tcMar>
              <w:bottom w:w="0" w:type="dxa"/>
            </w:tcMar>
            <w:vAlign w:val="center"/>
          </w:tcPr>
          <w:p>
            <w:pPr>
              <w:pStyle w:val="TableContents"/>
              <w:bidi w:val="0"/>
              <w:spacing w:before="0" w:after="0"/>
              <w:jc w:val="left"/>
              <w:rPr>
                <w:b/>
              </w:rPr>
            </w:pPr>
            <w:r>
              <w:rPr>
                <w:b/>
                <w:spacing w:val="-4"/>
              </w:rPr>
              <w:t>Tyler Dempsey</w:t>
            </w:r>
            <w:r>
              <w:rPr>
                <w:b/>
                <w:spacing w:val="4"/>
              </w:rPr>
              <w:t xml:space="preserve"> </w:t>
            </w:r>
            <w:r>
              <w:rPr>
                <w:b w:val="false"/>
                <w:spacing w:val="4"/>
              </w:rPr>
              <w:t xml:space="preserve">General Counsel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right"/>
              <w:rPr/>
            </w:pPr>
            <w:r>
              <w:rPr/>
              <w:t>​</w:t>
            </w:r>
          </w:p>
        </w:tc>
        <w:tc>
          <w:tcPr>
            <w:tcW w:w="1290" w:type="dxa"/>
            <w:tcBorders/>
            <w:shd w:fill="CCCCCC" w:val="clear"/>
            <w:tcMar>
              <w:bottom w:w="0" w:type="dxa"/>
            </w:tcMar>
            <w:vAlign w:val="center"/>
          </w:tcPr>
          <w:p>
            <w:pPr>
              <w:pStyle w:val="TableContents"/>
              <w:bidi w:val="0"/>
              <w:spacing w:before="0" w:after="283"/>
              <w:jc w:val="right"/>
              <w:rPr/>
            </w:pPr>
            <w:r>
              <w:rPr/>
              <w:t>500,000</w:t>
            </w:r>
          </w:p>
        </w:tc>
        <w:tc>
          <w:tcPr>
            <w:tcW w:w="132"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1443" w:type="dxa"/>
            <w:tcBorders/>
            <w:shd w:fill="CCCCCC" w:val="clear"/>
            <w:tcMar>
              <w:bottom w:w="0" w:type="dxa"/>
            </w:tcMar>
            <w:vAlign w:val="center"/>
          </w:tcPr>
          <w:p>
            <w:pPr>
              <w:pStyle w:val="TableContents"/>
              <w:bidi w:val="0"/>
              <w:spacing w:before="0" w:after="283"/>
              <w:jc w:val="right"/>
              <w:rPr/>
            </w:pPr>
            <w:r>
              <w:rPr/>
              <w:t>58,548</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86" w:type="dxa"/>
            <w:tcBorders/>
            <w:tcMar>
              <w:bottom w:w="0" w:type="dxa"/>
            </w:tcMar>
            <w:vAlign w:val="center"/>
          </w:tcPr>
          <w:p>
            <w:pPr>
              <w:pStyle w:val="TableContents"/>
              <w:bidi w:val="0"/>
              <w:spacing w:before="0" w:after="0"/>
              <w:jc w:val="left"/>
              <w:rPr>
                <w:b/>
              </w:rPr>
            </w:pPr>
            <w:r>
              <w:rPr>
                <w:b/>
                <w:spacing w:val="-4"/>
              </w:rPr>
              <w:t>David Guthrie</w:t>
            </w:r>
            <w:r>
              <w:rPr>
                <w:b/>
                <w:spacing w:val="4"/>
              </w:rPr>
              <w:t xml:space="preserve"> </w:t>
            </w:r>
            <w:r>
              <w:rPr>
                <w:b w:val="false"/>
                <w:spacing w:val="4"/>
              </w:rPr>
              <w:t xml:space="preserve">Chief Technology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589,500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1443" w:type="dxa"/>
            <w:tcBorders/>
            <w:tcMar>
              <w:bottom w:w="0" w:type="dxa"/>
            </w:tcMar>
            <w:vAlign w:val="center"/>
          </w:tcPr>
          <w:p>
            <w:pPr>
              <w:pStyle w:val="TableContents"/>
              <w:bidi w:val="0"/>
              <w:spacing w:before="0" w:after="283"/>
              <w:jc w:val="right"/>
              <w:rPr/>
            </w:pPr>
            <w:r>
              <w:rPr/>
              <w:t>69,028</w:t>
            </w:r>
          </w:p>
        </w:tc>
        <w:tc>
          <w:tcPr>
            <w:tcW w:w="17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86" w:type="dxa"/>
            <w:tcBorders/>
            <w:shd w:fill="CCCCCC" w:val="clear"/>
            <w:tcMar>
              <w:bottom w:w="0" w:type="dxa"/>
            </w:tcMar>
            <w:vAlign w:val="center"/>
          </w:tcPr>
          <w:p>
            <w:pPr>
              <w:pStyle w:val="TableContents"/>
              <w:bidi w:val="0"/>
              <w:spacing w:before="0" w:after="0"/>
              <w:jc w:val="left"/>
              <w:rPr>
                <w:b/>
              </w:rPr>
            </w:pPr>
            <w:r>
              <w:rPr>
                <w:b/>
                <w:spacing w:val="-4"/>
              </w:rPr>
              <w:t>Jacob H. Moore</w:t>
            </w:r>
            <w:r>
              <w:rPr>
                <w:b/>
                <w:spacing w:val="4"/>
              </w:rPr>
              <w:t xml:space="preserve"> </w:t>
            </w:r>
            <w:r>
              <w:rPr>
                <w:b w:val="false"/>
                <w:spacing w:val="4"/>
              </w:rPr>
              <w:t xml:space="preserve">Executive Vice President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right"/>
              <w:rPr/>
            </w:pPr>
            <w:r>
              <w:rPr/>
              <w:t>​</w:t>
            </w:r>
          </w:p>
        </w:tc>
        <w:tc>
          <w:tcPr>
            <w:tcW w:w="1290" w:type="dxa"/>
            <w:tcBorders/>
            <w:shd w:fill="CCCCCC" w:val="clear"/>
            <w:tcMar>
              <w:bottom w:w="0" w:type="dxa"/>
            </w:tcMar>
            <w:vAlign w:val="center"/>
          </w:tcPr>
          <w:p>
            <w:pPr>
              <w:pStyle w:val="TableContents"/>
              <w:bidi w:val="0"/>
              <w:spacing w:before="0" w:after="283"/>
              <w:jc w:val="right"/>
              <w:rPr/>
            </w:pPr>
            <w:r>
              <w:rPr/>
              <w:t>550,000</w:t>
            </w:r>
          </w:p>
        </w:tc>
        <w:tc>
          <w:tcPr>
            <w:tcW w:w="132"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1443" w:type="dxa"/>
            <w:tcBorders/>
            <w:shd w:fill="CCCCCC" w:val="clear"/>
            <w:tcMar>
              <w:bottom w:w="0" w:type="dxa"/>
            </w:tcMar>
            <w:vAlign w:val="center"/>
          </w:tcPr>
          <w:p>
            <w:pPr>
              <w:pStyle w:val="TableContents"/>
              <w:bidi w:val="0"/>
              <w:spacing w:before="0" w:after="283"/>
              <w:jc w:val="right"/>
              <w:rPr/>
            </w:pPr>
            <w:r>
              <w:rPr/>
              <w:t>64,402</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86" w:type="dxa"/>
            <w:tcBorders/>
            <w:tcMar>
              <w:bottom w:w="0" w:type="dxa"/>
            </w:tcMar>
            <w:vAlign w:val="center"/>
          </w:tcPr>
          <w:p>
            <w:pPr>
              <w:pStyle w:val="TableContents"/>
              <w:bidi w:val="0"/>
              <w:spacing w:before="0" w:after="0"/>
              <w:jc w:val="left"/>
              <w:rPr>
                <w:b/>
              </w:rPr>
            </w:pPr>
            <w:r>
              <w:rPr>
                <w:b/>
                <w:spacing w:val="-4"/>
              </w:rPr>
              <w:t>Executive Group</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290" w:type="dxa"/>
            <w:tcBorders/>
            <w:tcMar>
              <w:bottom w:w="0" w:type="dxa"/>
            </w:tcMar>
            <w:vAlign w:val="center"/>
          </w:tcPr>
          <w:p>
            <w:pPr>
              <w:pStyle w:val="TableContents"/>
              <w:bidi w:val="0"/>
              <w:spacing w:before="0" w:after="283"/>
              <w:jc w:val="right"/>
              <w:rPr/>
            </w:pPr>
            <w:r>
              <w:rPr/>
              <w:t>6,944,589</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1443" w:type="dxa"/>
            <w:tcBorders/>
            <w:tcMar>
              <w:bottom w:w="0" w:type="dxa"/>
            </w:tcMar>
            <w:vAlign w:val="center"/>
          </w:tcPr>
          <w:p>
            <w:pPr>
              <w:pStyle w:val="TableContents"/>
              <w:bidi w:val="0"/>
              <w:spacing w:before="0" w:after="283"/>
              <w:jc w:val="right"/>
              <w:rPr/>
            </w:pPr>
            <w:r>
              <w:rPr/>
              <w:t>813,182</w:t>
            </w:r>
          </w:p>
        </w:tc>
        <w:tc>
          <w:tcPr>
            <w:tcW w:w="17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286" w:type="dxa"/>
            <w:tcBorders/>
            <w:shd w:fill="CCCCCC" w:val="clear"/>
            <w:tcMar>
              <w:bottom w:w="0" w:type="dxa"/>
            </w:tcMar>
            <w:vAlign w:val="center"/>
          </w:tcPr>
          <w:p>
            <w:pPr>
              <w:pStyle w:val="TableContents"/>
              <w:bidi w:val="0"/>
              <w:spacing w:before="0" w:after="0"/>
              <w:jc w:val="left"/>
              <w:rPr>
                <w:b/>
              </w:rPr>
            </w:pPr>
            <w:r>
              <w:rPr>
                <w:b/>
                <w:spacing w:val="-4"/>
              </w:rPr>
              <w:t>Non-Executive Group</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left"/>
              <w:rPr/>
            </w:pPr>
            <w:r>
              <w:rPr/>
              <w:t>​</w:t>
            </w:r>
          </w:p>
        </w:tc>
        <w:tc>
          <w:tcPr>
            <w:tcW w:w="132" w:type="dxa"/>
            <w:tcBorders/>
            <w:shd w:fill="CCCCCC" w:val="clear"/>
            <w:tcMar>
              <w:bottom w:w="0" w:type="dxa"/>
            </w:tcMar>
            <w:vAlign w:val="center"/>
          </w:tcPr>
          <w:p>
            <w:pPr>
              <w:pStyle w:val="TableContents"/>
              <w:bidi w:val="0"/>
              <w:spacing w:before="0" w:after="283"/>
              <w:jc w:val="right"/>
              <w:rPr/>
            </w:pPr>
            <w:r>
              <w:rPr/>
              <w:t>​</w:t>
            </w:r>
          </w:p>
        </w:tc>
        <w:tc>
          <w:tcPr>
            <w:tcW w:w="1290" w:type="dxa"/>
            <w:tcBorders/>
            <w:shd w:fill="CCCCCC" w:val="clear"/>
            <w:tcMar>
              <w:bottom w:w="0" w:type="dxa"/>
            </w:tcMar>
            <w:vAlign w:val="center"/>
          </w:tcPr>
          <w:p>
            <w:pPr>
              <w:pStyle w:val="TableContents"/>
              <w:bidi w:val="0"/>
              <w:spacing w:before="0" w:after="283"/>
              <w:jc w:val="right"/>
              <w:rPr/>
            </w:pPr>
            <w:r>
              <w:rPr/>
              <w:t>452,500</w:t>
            </w:r>
          </w:p>
        </w:tc>
        <w:tc>
          <w:tcPr>
            <w:tcW w:w="132"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left"/>
              <w:rPr/>
            </w:pPr>
            <w:r>
              <w:rPr/>
              <w:t>​</w:t>
            </w:r>
          </w:p>
        </w:tc>
        <w:tc>
          <w:tcPr>
            <w:tcW w:w="177" w:type="dxa"/>
            <w:tcBorders/>
            <w:shd w:fill="CCCCCC" w:val="clear"/>
            <w:tcMar>
              <w:bottom w:w="0" w:type="dxa"/>
            </w:tcMar>
            <w:vAlign w:val="center"/>
          </w:tcPr>
          <w:p>
            <w:pPr>
              <w:pStyle w:val="TableContents"/>
              <w:bidi w:val="0"/>
              <w:spacing w:before="0" w:after="283"/>
              <w:jc w:val="right"/>
              <w:rPr/>
            </w:pPr>
            <w:r>
              <w:rPr/>
              <w:t>​</w:t>
            </w:r>
          </w:p>
        </w:tc>
        <w:tc>
          <w:tcPr>
            <w:tcW w:w="1443" w:type="dxa"/>
            <w:tcBorders/>
            <w:shd w:fill="CCCCCC" w:val="clear"/>
            <w:tcMar>
              <w:bottom w:w="0" w:type="dxa"/>
            </w:tcMar>
            <w:vAlign w:val="center"/>
          </w:tcPr>
          <w:p>
            <w:pPr>
              <w:pStyle w:val="TableContents"/>
              <w:bidi w:val="0"/>
              <w:spacing w:before="0" w:after="283"/>
              <w:jc w:val="right"/>
              <w:rPr/>
            </w:pPr>
            <w:r>
              <w:rPr/>
              <w:t>52,985</w:t>
            </w:r>
          </w:p>
        </w:tc>
        <w:tc>
          <w:tcPr>
            <w:tcW w:w="17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price of our Class A common stock ($8.54) on December 29, 2023.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under the Second Amended and Restated Plan are made at the discretion of the Compensation Committee or the Board and, except for the awards disclosed above, the benefits and amounts that will be received or allocated under the Second Amended and Restated Plan are not determinable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8, 2024, the following persons or groups have received stock options to purchase the following numbers of shares of Class A common stock under the Current Plan: Tim Murphy — 287,207 shares; Tyler Dempsey — 191,470 shares; David Guthrie — 287,207 shares; and Jacob H. Moore — 191,470 shares; all current executive officers as a group — 1,053,088 shares; and all non-executive employees, as a group — 95,734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Adjustments to Shares Subject to the Second Amended and Restated Plan</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In the event of a stock dividend, extraordinary cash dividend, stock split, recapitalization or other change in the number or class of issued or outstanding securities resulting from a subdivision or consolidation of the Company’s common stock and/or other outstanding equity securities or a recapitalization or other capital adjustment affecting the Company’s common stock, the administrator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Administration</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Second Amended and Restated Plan will continue to be administered by the compensation committee of the Company Board (referred to as the “administrator”); provided that such committee consist of at least two members of the Board, each of whom qualifies as a non-employee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16b-3 of the Exchange Act and as an independent director under the rules of the stock exchange for so long as the Company is a publicly traded corporation. The Board may establish one or more committees to administer the Second Amended and Restated Plan with respect to separate classes of grantees (other than officers subject to Section 16 of the Exchange Act) and the Board will act as the administrator with respect to awards made to non-employee directors. Subject to the provisions of the Second Amended and Restated Plan, the administrator has the power to administer the Second Amended and Restated Plan, including but not limited to, the authority to (i) direct the Company to grant awards pursuant to the Second Amended and Restated Plan, (ii) determine the grantees to whom and the times at which awards will be granted, (iii) determine the price at which options are granted, (iv) determine the type of option to be awarded and the number of shares subject to such option, (v) determine the number of shares granted pursuant to each award, (vi) accelerate the exercisability or vesting of an award upon 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in control, or, in the case of a director, a required resignation from the Board in connection with a change in control, and (vii) approve the form and terms and conditions of the award documents and of each award. The administrator’s interpretation and construction of any provisions of the Second Amended and Restated Plan or any award are final, binding and conclusive.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Eligibility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Awards may be granted to employees, directors, consultants and advisors of the Company and any parent or subsidiary corporation of the Company. Incentive stock options may be granted only to employees who, as of the time of grant, are employees of the Company or any parent or subsidiary corporation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 Options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Stock options in the form of nonstatutory stock options or incentive stock options may be granted under the Second Amended and Restated Plan. The administrator determines the number of shares subject to each option. The administrator determines the exercise price of options granted under the Second Amended and Restated Plan; provided that the exercise price must at least be equal to the fair market value of the Company’s common stock on the date of grant. The term of a stock option may not exceed ten years, except that with respect to any participant who owns more than 10% of the voting power of all classes of the Company’s or any subsidiary’s outstanding stock, the term of an incentive stock option must not exceed five years and the exercise price must equal at least 110% of the fair market value on the grant date. The grantee may pay the exercise price of an option (i) in cash, (ii) by certified check or (iii) by such method as the administrator approves, including payment through a broker. After the termination of service of a grantee other than due to death or disability, his or her option will remain exercisable for 90 days except as otherwise provided in the award agreement. After the termination of service of a grantee due to death or disability, the option will remain exercisable for 12 months unless otherwise provided in the award agreement. Upon a termination for cause, all options cease to be exercisable immediately on the date of termination and the grantee automatically forfeits all shares for which the Company has not yet delivered the share certificates. An option may not be exercised later than the expiration of its term. Subject to the provisions of the Second Amended and Restated Plan, the administrator determines the other terms of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Stock appreciation rights may be granted under the Second Amended and Restated Plan. Stock appreciation rights allow the recipient to receive the appreciation in the fair market value of the Company’s common stock between the exercise date and the date of grant. Stock appreciation rights may not have a term exceeding ten years. Unless otherwise provided in an award agreement, in the event that a grantee’s services terminate for any reason other than due to death or disability, any stock appreciation right is forfeited and reacquired by the Company. In the event of a termination due to death or disability, all remaining restrictions with respect to stock appreciation rights immediately lapse unless otherwise provided in an award agreement. The grant price for a stock appreciation right may not be less than 100% of the fair market value per share on the date of grant. Subject to the provisions of the Second Amended and Restated Plan, the administrator determines the other terms of stock appreciation rights, including when such rights become exercisable.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Restricted Stock Awards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Restricted stock may be granted under the Second Amended and Restated Plan. Restricted stock awards are grants of shares of the Company’s common stock that vest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terms and conditions established by the administrator. The administrator will determine the number of shares of restricted stock granted to any employee, director, consultant or advisor and, subject to the provisions of the Second Amended and Restated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rights with respect to such shares upon grant unless the administrator provides otherwise. Recipients of restricted stock awards are not entitled to receive any dividends with respect to such shares until the shares become vested. The administrator may provide that any dividends paid on restricted stock awards must be reinvested in shares of common stock, which is subject to the same vesting conditions applicable to the restricted stock awards. Unless otherwise provided in an award agreement, upon a termination of service for any reason other than due to death or disability any unvested restricted stock awards are forfeited and upon a termination due to death or disability all restrictions with respect to any restricted stock awards immediately lapse.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Restricted stock units may be granted under the Second Amended and Restated Plan. Restricted stock units are bookkeeping entries representing an amount equal to the fair market value of one share of the Company’s common stock. Subject to the provisions of the Second Amended and Restated Plan, the administrator determines the terms and conditions of restricted stock units, including the vesting criteria (which may include accomplishing specified performance criteria or continued service to the Company) and the form and timing of payment. Holders of restricted stock units do not have any rights as stockholders but the administrator may provide in an award agreement that such holders are entitled to receive cash payments equal to the per-share dividend paid on common stock which will be distributed upon vesting of the restricted stock unit. Restricted stock units are subject the same treatment upon terminations of service as restricted stock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Equivalent Rights.</w:t>
      </w:r>
      <w:r>
        <w:rPr>
          <w:rFonts w:ascii="Times New Roman;Times;serif" w:hAnsi="Times New Roman;Times;serif"/>
          <w:b w:val="false"/>
          <w:i w:val="false"/>
          <w:caps w:val="false"/>
          <w:smallCaps w:val="false"/>
          <w:color w:val="000000"/>
          <w:spacing w:val="4"/>
          <w:sz w:val="20"/>
        </w:rPr>
        <w:t xml:space="preserve">   Dividend equivalent rights may be granted under the Second Amended and Restated Plan. Dividend equivalent rights are entitlements to receive credits based on cash distributions that would have been paid on the shares of common stock subject to an equity-based award granted to an individual as though such shares had been issued to and held by the grantee. Dividend equivalent rights may not be granted in connection with stock options or stock appreciation rights. Subject to the terms of the Second Amended and Restated Plan, the administrator determines the terms and conditions of dividend equivalent rights. Except as otherwise provided in an award agreement, all dividend equivalent rights automatically terminate on the grantee’s termination of service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Transferability of Awards.</w:t>
      </w:r>
      <w:r>
        <w:rPr>
          <w:rFonts w:ascii="Times New Roman;Times;serif" w:hAnsi="Times New Roman;Times;serif"/>
          <w:b w:val="false"/>
          <w:i w:val="false"/>
          <w:caps w:val="false"/>
          <w:smallCaps w:val="false"/>
          <w:color w:val="000000"/>
          <w:spacing w:val="4"/>
          <w:sz w:val="20"/>
        </w:rPr>
        <w:t xml:space="preserve">   The Second Amended and Restated Plan allows for the transfer of awards (other than incentive stock options) for no consideration to the grantee’s immediate family or any trust or partnership in which all of the beneficiaries or partners or members, as applicable, are such grantee or his or her immediate family.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Grants to Non-Employee Directors.</w:t>
      </w:r>
      <w:r>
        <w:rPr>
          <w:rFonts w:ascii="Times New Roman;Times;serif" w:hAnsi="Times New Roman;Times;serif"/>
          <w:b w:val="false"/>
          <w:i w:val="false"/>
          <w:caps w:val="false"/>
          <w:smallCaps w:val="false"/>
          <w:color w:val="000000"/>
          <w:spacing w:val="4"/>
          <w:sz w:val="20"/>
        </w:rPr>
        <w:t xml:space="preserve">   Grants made to non-employee directors may be in any form other than incentive stock options. The fair value of any awards granted to a non-employee director, including cash compensation in respect of such director’s service, may not exceed $650,000 in any one calendar year. Notwithstanding the foregoing, however, the administrator may make exceptions to the foregoing limits in extraordinary or unusual circumstances as the administrator may determine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Minimum Vesting Requirements.</w:t>
      </w:r>
      <w:r>
        <w:rPr>
          <w:rFonts w:ascii="Times New Roman;Times;serif" w:hAnsi="Times New Roman;Times;serif"/>
          <w:b w:val="false"/>
          <w:i w:val="false"/>
          <w:caps w:val="false"/>
          <w:smallCaps w:val="false"/>
          <w:color w:val="000000"/>
          <w:spacing w:val="4"/>
          <w:sz w:val="20"/>
        </w:rPr>
        <w:t xml:space="preserve">   Awards granted under the Second Amended and Restated Plan shall vest no earlier than the first anniversary of the date the award is granted, and performance-based awards must have a performance period of at least one year; provided, however, that the administrator may grant awards without regard to the foregoing minimum vesting requirements with respect to (i) awards granted after the Company’s stockholders meeting scheduled for May 30, 2024 in connection with awards that are assumed, converted or substituted pursuant to the Plan; (ii) shares delivered after the Company’s stockholders meeting scheduled for May 30, 2024 in lieu of fully vested cash obligations; (iii) awards granted after the Company’s stockholders meeting scheduled for May 30, 2024 to 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may be granted after the Company’s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meeting scheduled for May 30, 2024 up to a maximum of five percent (5%) of the available shares authorized for issuance under the Plan (subject to adjustment as set forth in the Second Amended and Restated Plan). For the avoidance of doubt, the foregoing restriction does not apply to the administrator’s discretion to provide in the terms of the award or otherwise for accelerated exercisability or vesting of any award upon the occurrence of one or more events other than completion of a service or performance period, including without limitation the grantee’s retirement, death, disability, termination of employment or service involuntarily for any reason other than for cause or voluntarily for good reason, a change in control, or, in the case of a director, a required resignation from the Board in connection with a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Dividends on Performance-Based Awards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In the event we pay a cash dividend on our outstanding shares of Class A common stock, the administrator may provide that the holder of performance-based awards granted under the Second Amended and Restated Plan shall be entitled to receive a cash payment for each share of Class A common stock covered by such award equal to the per-share dividend paid. However, such cash dividend shall not be distributed to the holder of the award until such award becomes vested. The award document may also provide that such cash payment will be deem reinvested in additional performance-based awards at a price per unit equal to the fair market value of the Class A common stock on the date that such dividend is paid, provided such additional awards shall remain subject to the same restrictions appliable to the underlying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Parachute Limitations.</w:t>
      </w:r>
      <w:r>
        <w:rPr>
          <w:rFonts w:ascii="Times New Roman;Times;serif" w:hAnsi="Times New Roman;Times;serif"/>
          <w:b w:val="false"/>
          <w:i w:val="false"/>
          <w:caps w:val="false"/>
          <w:smallCaps w:val="false"/>
          <w:color w:val="000000"/>
          <w:spacing w:val="4"/>
          <w:sz w:val="20"/>
        </w:rPr>
        <w:t xml:space="preserve">   To the extent that a grantee is a “disqualified individual” under Section 280G(c) of the Internal Revenue Code of 1986 (the “Code”), any award held by such grantee and any right to receive any payment or other benefit under the Second Amended and Restated Plan will not become exercisable or vested to the extent such exercise or vesting would cause any payment or benefit to such grantee to be subject to excise tax under Section 4999 of the Code; provided that such limitations are only applicable to the extent that the imposition of such limitation is beneficial to the grantee on a net after tax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Change in Control.</w:t>
      </w:r>
      <w:r>
        <w:rPr>
          <w:rFonts w:ascii="Times New Roman;Times;serif" w:hAnsi="Times New Roman;Times;serif"/>
          <w:b w:val="false"/>
          <w:i w:val="false"/>
          <w:caps w:val="false"/>
          <w:smallCaps w:val="false"/>
          <w:color w:val="000000"/>
          <w:spacing w:val="4"/>
          <w:sz w:val="20"/>
        </w:rPr>
        <w:t xml:space="preserve">   The Second Amended and Restated Plan provides that in the event of a change of control, as defined under the Second Amended and Restated Plan, except as otherwise provided in an award agreement, each outstanding award will be treated as described in the Second Amended and Restated Plan. Under the Second Amended and Restated Plan, awards assumed by an entity that is the surviving or successor entity following a change of control or are otherwise equitably converted or substituted in connection with a change of control shall have the same vesting schedule in effect following the change of control. If within one year following the change in control, the grantee’s employment or other service is terminated involuntarily without cause, voluntarily for good reason or, in the case of a director, as a result of a required resignation, then all of the grantee’s outstanding awards shall become fully exercisable and/or vested as the case may be as of the date of termination, with payout to such grantee within 60 days following the date of termination of employment or other service, provided that the payment date of any awards that are considered to be deferred compensation shall not be accelerated. For awards that are not assumed or equitably converted in connection with a change in control, the Second Amended and Restated Plan provides that such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60 days following the change of control, in an amount equal to the amount that the grantee would have received (net of the exercise price with respect to any awards in the nature of options, stock appreciation rights or other purchase rights) and on the same terms (including without limitation any earn-out, escrow or other deferred consideration provisions) as if such vested awards were settled or distributed or such awards in the nature of vested options, stock appreciation rights or other purchase rights were exercised immediately prior to the consummation of the change in control. Performance-based awards that are assumed or converted in connection with a change in control shall be converted into a time-based award as of the change in control at target, and performance-based awards that are not assumed or converted in connection with a change in control shall become vested, and be paid and settled, at target and prorated based on the number of days in the specified performance period prior to and including the date of the change in control over the number of days in the specified performance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Amendment; Termination.</w:t>
      </w:r>
      <w:r>
        <w:rPr>
          <w:rFonts w:ascii="Times New Roman;Times;serif" w:hAnsi="Times New Roman;Times;serif"/>
          <w:b w:val="false"/>
          <w:i w:val="false"/>
          <w:caps w:val="false"/>
          <w:smallCaps w:val="false"/>
          <w:color w:val="000000"/>
          <w:spacing w:val="4"/>
          <w:sz w:val="20"/>
        </w:rPr>
        <w:t xml:space="preserve">   The Board has the authority to amend the Second Amended and Restated Plan from time to time; provided that stockholder consent is require to: (i) increase the maximum number of shares as to which awards may be granted, except for adjustments in connection with certain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in the Second Amended and Restated Plan, (ii) materially expand the eligible participants or (iii) adopt any amendment constituting a change requiring stockholder approval under applicable laws or applicable listing requirements. Additionally, no amendment may materially adversely affect any outstanding award without consent of the impacted grantee. The Second Amended and Restated Plan automatically will terminate on April 19, 2034.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Repricing Prohibition.</w:t>
      </w:r>
      <w:r>
        <w:rPr>
          <w:rFonts w:ascii="Times New Roman;Times;serif" w:hAnsi="Times New Roman;Times;serif"/>
          <w:b w:val="false"/>
          <w:i w:val="false"/>
          <w:caps w:val="false"/>
          <w:smallCaps w:val="false"/>
          <w:color w:val="000000"/>
          <w:spacing w:val="4"/>
          <w:sz w:val="20"/>
        </w:rPr>
        <w:t xml:space="preserve">   The Second Amended and Restated Plan provides that the Company may not, without stockholder approval, lower the exercise price of an option or SAR after it is granted, cancel an option or SAR at any time when the exercise price exceeds the fair market value of the Company’s Class A common stock or take any other action that would be treated as a repricing, other than in the case of a recapitalization of the Company’s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Clawback Provision.</w:t>
      </w:r>
      <w:r>
        <w:rPr>
          <w:rFonts w:ascii="Times New Roman;Times;serif" w:hAnsi="Times New Roman;Times;serif"/>
          <w:b w:val="false"/>
          <w:i w:val="false"/>
          <w:caps w:val="false"/>
          <w:smallCaps w:val="false"/>
          <w:color w:val="000000"/>
          <w:spacing w:val="4"/>
          <w:sz w:val="20"/>
        </w:rPr>
        <w:t xml:space="preserve">   The Second Amended and Restated Plan includes a clawback provision, pursuant to which we may recover the unearned portion of cash-based or equity-based compensation granted under the Second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 and is separate from and in addition to the Company’s recently adopted Clawback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 “Evergreen” Provision.</w:t>
      </w:r>
      <w:r>
        <w:rPr>
          <w:rFonts w:ascii="Times New Roman;Times;serif" w:hAnsi="Times New Roman;Times;serif"/>
          <w:b w:val="false"/>
          <w:i w:val="false"/>
          <w:caps w:val="false"/>
          <w:smallCaps w:val="false"/>
          <w:color w:val="000000"/>
          <w:spacing w:val="4"/>
          <w:sz w:val="20"/>
        </w:rPr>
        <w:t xml:space="preserve">   There is no “evergreen” feature pursuant to which the shares available for issuance under the Second Amended and Restated Plan can be automatically replenished.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U.S. Federal Income Tax Consequences of the Second Amended and Restated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is intended only as a general guide to the material U.S. federal income tax consequences of participation in the Second Amended and Restated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Incentive Stock Options.</w:t>
      </w:r>
      <w:r>
        <w:rPr>
          <w:rFonts w:ascii="Times New Roman;Times;serif" w:hAnsi="Times New Roman;Times;serif"/>
          <w:b w:val="false"/>
          <w:i w:val="false"/>
          <w:caps w:val="false"/>
          <w:smallCaps w:val="false"/>
          <w:color w:val="000000"/>
          <w:spacing w:val="4"/>
          <w:sz w:val="20"/>
        </w:rPr>
        <w:t xml:space="preserve">   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Non-statutory Stock Options.</w:t>
      </w:r>
      <w:r>
        <w:rPr>
          <w:rFonts w:ascii="Times New Roman;Times;serif" w:hAnsi="Times New Roman;Times;serif"/>
          <w:b w:val="false"/>
          <w:i w:val="false"/>
          <w:caps w:val="false"/>
          <w:smallCaps w:val="false"/>
          <w:color w:val="000000"/>
          <w:spacing w:val="4"/>
          <w:sz w:val="20"/>
        </w:rPr>
        <w:t xml:space="preserve">   Options not designated or qualifying as incentive stock options will be non-statutory stock options having no special U.S. tax status. An optionee generally recognizes no taxable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In general, no taxable income is reportable when a stock appreciation right is granted to a participant. Upon exercise, the participant generally will recognize ordinary income in an amount equal to the fair market value of any shares of Company common stock received. Any additional gain or loss recognized upon any later disposition of the shares would be capital gain or loss.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Restricted Stock Awards.</w:t>
      </w:r>
      <w:r>
        <w:rPr>
          <w:rFonts w:ascii="Times New Roman;Times;serif" w:hAnsi="Times New Roman;Times;serif"/>
          <w:b w:val="false"/>
          <w:i w:val="false"/>
          <w:caps w:val="false"/>
          <w:smallCaps w:val="false"/>
          <w:color w:val="000000"/>
          <w:spacing w:val="4"/>
          <w:sz w:val="20"/>
        </w:rPr>
        <w:t xml:space="preserve">   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Restricted Stock Unit Awards.</w:t>
      </w:r>
      <w:r>
        <w:rPr>
          <w:rFonts w:ascii="Times New Roman;Times;serif" w:hAnsi="Times New Roman;Times;serif"/>
          <w:b w:val="false"/>
          <w:i w:val="false"/>
          <w:caps w:val="false"/>
          <w:smallCaps w:val="false"/>
          <w:color w:val="000000"/>
          <w:spacing w:val="4"/>
          <w:sz w:val="20"/>
        </w:rPr>
        <w:t xml:space="preserve">   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Section 409A of the Code provides certain requirements for non-qualified deferred compensation arrangements with respect to an individual’s deferral and distribution elections and permissible distribution events.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certain premium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Effect for the Company</w:t>
      </w:r>
      <w:r>
        <w:rPr>
          <w:rFonts w:ascii="Times New Roman;Times;serif" w:hAnsi="Times New Roman;Times;serif"/>
          <w:b w:val="false"/>
          <w:i w:val="false"/>
          <w:caps w:val="false"/>
          <w:smallCaps w:val="false"/>
          <w:color w:val="000000"/>
          <w:spacing w:val="4"/>
          <w:sz w:val="20"/>
        </w:rPr>
        <w:t xml:space="preserve">.   The Company generally will be entitled to a tax deduction in connection with an award under the Second Amended and Restated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IS ONLY A SUMMARY OF THE EFFECT OF THE U.S. FEDERAL INCOME TAXATION UPON PARTICIPANTS AND THE COMPANY UNDER THE SECOND AMENDED AND RESTATED PLAN. IT DOES NOT PURPORT TO BE COMPLETE AND DOES NOT DISCUSS THE TAX CONSEQUENCES OF A PARTICIPANT’S DEATH OR THE PROVISIONS OF THE INCOME TAX LAWS OF ANY MUNICIPALITY, STATE, OR FOREIGN COUNTRY IN WHICH THE PARTICIPANT MAY RESIDE.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about the common stock that may be issued upon the exercise of options, warrants and rights under all of our existing equity compensation plan as of December 31, 2023: </w:t>
      </w:r>
    </w:p>
    <w:tbl>
      <w:tblPr>
        <w:tblW w:w="8812" w:type="dxa"/>
        <w:jc w:val="left"/>
        <w:tblInd w:w="1393" w:type="dxa"/>
        <w:tblLayout w:type="fixed"/>
        <w:tblCellMar>
          <w:top w:w="0" w:type="dxa"/>
          <w:left w:w="0" w:type="dxa"/>
          <w:bottom w:w="28" w:type="dxa"/>
          <w:right w:w="0" w:type="dxa"/>
        </w:tblCellMar>
      </w:tblPr>
      <w:tblGrid>
        <w:gridCol w:w="124"/>
        <w:gridCol w:w="3123"/>
        <w:gridCol w:w="109"/>
        <w:gridCol w:w="109"/>
        <w:gridCol w:w="114"/>
        <w:gridCol w:w="114"/>
        <w:gridCol w:w="1243"/>
        <w:gridCol w:w="114"/>
        <w:gridCol w:w="109"/>
        <w:gridCol w:w="109"/>
        <w:gridCol w:w="154"/>
        <w:gridCol w:w="322"/>
        <w:gridCol w:w="845"/>
        <w:gridCol w:w="156"/>
        <w:gridCol w:w="109"/>
        <w:gridCol w:w="109"/>
        <w:gridCol w:w="121"/>
        <w:gridCol w:w="121"/>
        <w:gridCol w:w="1327"/>
        <w:gridCol w:w="121"/>
        <w:gridCol w:w="159"/>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3123" w:type="dxa"/>
            <w:tcBorders>
              <w:bottom w:val="single" w:sz="2" w:space="0" w:color="000000"/>
            </w:tcBorders>
            <w:shd w:fill="FFFFFF" w:val="clear"/>
            <w:tcMar>
              <w:bottom w:w="43" w:type="dxa"/>
            </w:tcMar>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585"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(a) </w:t>
              <w:br/>
              <w:t xml:space="preserve">Number of </w:t>
              <w:br/>
              <w:t xml:space="preserve">Securities to be </w:t>
              <w:br/>
              <w:t xml:space="preserve">Issued Upon </w:t>
              <w:br/>
              <w:t xml:space="preserve">Exercise of </w:t>
              <w:br/>
              <w:t xml:space="preserve">Outstanding </w:t>
              <w:br/>
              <w:t xml:space="preserve">Options, Warrants </w:t>
              <w:br/>
              <w:t xml:space="preserve">and Rights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477"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(b) </w:t>
              <w:br/>
              <w:t xml:space="preserve">Weighted Average </w:t>
              <w:br/>
              <w:t xml:space="preserve">Exercise Price of </w:t>
              <w:br/>
              <w:t xml:space="preserve">Outstanding </w:t>
              <w:br/>
              <w:t xml:space="preserve">Options, Warrants </w:t>
              <w:br/>
              <w:t xml:space="preserve">and Rights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9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(c) </w:t>
              <w:b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Column </w:t>
              <w:br/>
              <w:t xml:space="preserve">(a)) </w:t>
            </w:r>
          </w:p>
        </w:tc>
        <w:tc>
          <w:tcPr>
            <w:tcW w:w="159"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3123" w:type="dxa"/>
            <w:tcBorders/>
            <w:shd w:fill="CCCCCC" w:val="clear"/>
            <w:tcMar>
              <w:bottom w:w="0" w:type="dxa"/>
            </w:tcMar>
            <w:vAlign w:val="center"/>
          </w:tcPr>
          <w:p>
            <w:pPr>
              <w:pStyle w:val="TableContents"/>
              <w:bidi w:val="0"/>
              <w:spacing w:before="0" w:after="0"/>
              <w:ind w:left="200" w:right="0" w:hanging="200"/>
              <w:jc w:val="left"/>
              <w:rPr/>
            </w:pPr>
            <w:r>
              <w:rPr>
                <w:b/>
                <w:spacing w:val="-4"/>
              </w:rPr>
              <w:t>Equity Compensation Plans Approved by Shareholders</w:t>
            </w:r>
            <w:r>
              <w:rPr>
                <w:bCs/>
                <w:spacing w:val="-3"/>
                <w:szCs w:val="13"/>
              </w:rPr>
              <w:t>﻿</w:t>
            </w:r>
            <w:r>
              <w:rPr>
                <w:b/>
                <w:spacing w:val="-3"/>
                <w:sz w:val="13"/>
              </w:rPr>
              <w:t>(1)</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4" w:type="dxa"/>
            <w:tcBorders/>
            <w:shd w:fill="CCCCCC" w:val="clear"/>
            <w:tcMar>
              <w:bottom w:w="0" w:type="dxa"/>
            </w:tcMar>
            <w:vAlign w:val="center"/>
          </w:tcPr>
          <w:p>
            <w:pPr>
              <w:pStyle w:val="TableContents"/>
              <w:bidi w:val="0"/>
              <w:spacing w:before="0" w:after="283"/>
              <w:jc w:val="left"/>
              <w:rPr/>
            </w:pPr>
            <w:r>
              <w:rPr/>
              <w:t>​</w:t>
            </w:r>
          </w:p>
        </w:tc>
        <w:tc>
          <w:tcPr>
            <w:tcW w:w="114" w:type="dxa"/>
            <w:tcBorders/>
            <w:shd w:fill="CCCCCC" w:val="clear"/>
            <w:tcMar>
              <w:bottom w:w="0" w:type="dxa"/>
            </w:tcMar>
            <w:vAlign w:val="center"/>
          </w:tcPr>
          <w:p>
            <w:pPr>
              <w:pStyle w:val="TableContents"/>
              <w:bidi w:val="0"/>
              <w:spacing w:before="0" w:after="283"/>
              <w:jc w:val="right"/>
              <w:rPr/>
            </w:pPr>
            <w:r>
              <w:rPr/>
              <w:t>​</w:t>
            </w:r>
          </w:p>
        </w:tc>
        <w:tc>
          <w:tcPr>
            <w:tcW w:w="1243" w:type="dxa"/>
            <w:tcBorders/>
            <w:shd w:fill="CCCCCC" w:val="clear"/>
            <w:tcMar>
              <w:bottom w:w="0" w:type="dxa"/>
            </w:tcMar>
            <w:vAlign w:val="center"/>
          </w:tcPr>
          <w:p>
            <w:pPr>
              <w:pStyle w:val="TableContents"/>
              <w:bidi w:val="0"/>
              <w:spacing w:before="0" w:after="283"/>
              <w:jc w:val="right"/>
              <w:rPr/>
            </w:pPr>
            <w:r>
              <w:rPr/>
              <w:t>6,607,091</w:t>
            </w:r>
            <w:r>
              <w:rPr>
                <w:sz w:val="13"/>
              </w:rPr>
              <w:t>(2)</w:t>
            </w:r>
            <w:r>
              <w:rPr/>
              <w:t xml:space="preserve"> </w:t>
            </w:r>
          </w:p>
        </w:tc>
        <w:tc>
          <w:tcPr>
            <w:tcW w:w="11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c>
          <w:tcPr>
            <w:tcW w:w="322" w:type="dxa"/>
            <w:tcBorders/>
            <w:shd w:fill="CCCCCC" w:val="clear"/>
            <w:tcMar>
              <w:bottom w:w="0" w:type="dxa"/>
            </w:tcMar>
            <w:vAlign w:val="center"/>
          </w:tcPr>
          <w:p>
            <w:pPr>
              <w:pStyle w:val="TableContents"/>
              <w:bidi w:val="0"/>
              <w:spacing w:before="0" w:after="283"/>
              <w:jc w:val="right"/>
              <w:rPr/>
            </w:pPr>
            <w:r>
              <w:rPr/>
              <w:t>$</w:t>
            </w:r>
          </w:p>
        </w:tc>
        <w:tc>
          <w:tcPr>
            <w:tcW w:w="845" w:type="dxa"/>
            <w:tcBorders/>
            <w:shd w:fill="CCCCCC" w:val="clear"/>
            <w:tcMar>
              <w:bottom w:w="0" w:type="dxa"/>
            </w:tcMar>
            <w:vAlign w:val="center"/>
          </w:tcPr>
          <w:p>
            <w:pPr>
              <w:pStyle w:val="TableContents"/>
              <w:bidi w:val="0"/>
              <w:spacing w:before="0" w:after="283"/>
              <w:jc w:val="right"/>
              <w:rPr/>
            </w:pPr>
            <w:r>
              <w:rPr/>
              <w:t>6.13</w:t>
            </w:r>
            <w:r>
              <w:rPr>
                <w:sz w:val="13"/>
              </w:rPr>
              <w:t>(3)</w:t>
            </w:r>
            <w:r>
              <w:rPr/>
              <w:t xml:space="preserve"> </w:t>
            </w:r>
          </w:p>
        </w:tc>
        <w:tc>
          <w:tcPr>
            <w:tcW w:w="156"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1327" w:type="dxa"/>
            <w:tcBorders/>
            <w:shd w:fill="CCCCCC" w:val="clear"/>
            <w:tcMar>
              <w:bottom w:w="0" w:type="dxa"/>
            </w:tcMar>
            <w:vAlign w:val="center"/>
          </w:tcPr>
          <w:p>
            <w:pPr>
              <w:pStyle w:val="TableContents"/>
              <w:bidi w:val="0"/>
              <w:spacing w:before="0" w:after="283"/>
              <w:jc w:val="right"/>
              <w:rPr/>
            </w:pPr>
            <w:r>
              <w:rPr/>
              <w:t>4,095,162</w:t>
            </w:r>
            <w:r>
              <w:rPr>
                <w:sz w:val="13"/>
              </w:rPr>
              <w:t>(4)</w:t>
            </w:r>
            <w:r>
              <w:rPr/>
              <w:t xml:space="preserve"> </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23" w:type="dxa"/>
            <w:tcBorders/>
            <w:tcMar>
              <w:bottom w:w="0" w:type="dxa"/>
            </w:tcMar>
            <w:vAlign w:val="center"/>
          </w:tcPr>
          <w:p>
            <w:pPr>
              <w:pStyle w:val="TableContents"/>
              <w:bidi w:val="0"/>
              <w:spacing w:before="0" w:after="0"/>
              <w:ind w:left="200" w:right="0" w:hanging="200"/>
              <w:jc w:val="left"/>
              <w:rPr>
                <w:b/>
              </w:rPr>
            </w:pPr>
            <w:r>
              <w:rPr>
                <w:b/>
                <w:spacing w:val="-4"/>
              </w:rPr>
              <w:t>Equity Compensation Plans Not Approved by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43"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3123" w:type="dxa"/>
            <w:tcBorders/>
            <w:shd w:fill="CCCCCC"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4" w:type="dxa"/>
            <w:tcBorders/>
            <w:shd w:fill="CCCCCC" w:val="clear"/>
            <w:tcMar>
              <w:bottom w:w="0" w:type="dxa"/>
            </w:tcMar>
            <w:vAlign w:val="center"/>
          </w:tcPr>
          <w:p>
            <w:pPr>
              <w:pStyle w:val="TableContents"/>
              <w:bidi w:val="0"/>
              <w:spacing w:before="0" w:after="283"/>
              <w:jc w:val="left"/>
              <w:rPr/>
            </w:pPr>
            <w:r>
              <w:rPr/>
              <w:t>​</w:t>
            </w:r>
          </w:p>
        </w:tc>
        <w:tc>
          <w:tcPr>
            <w:tcW w:w="114" w:type="dxa"/>
            <w:tcBorders/>
            <w:shd w:fill="CCCCCC" w:val="clear"/>
            <w:tcMar>
              <w:bottom w:w="0" w:type="dxa"/>
            </w:tcMar>
            <w:vAlign w:val="center"/>
          </w:tcPr>
          <w:p>
            <w:pPr>
              <w:pStyle w:val="TableContents"/>
              <w:bidi w:val="0"/>
              <w:spacing w:before="0" w:after="283"/>
              <w:jc w:val="right"/>
              <w:rPr/>
            </w:pPr>
            <w:r>
              <w:rPr/>
              <w:t>​</w:t>
            </w:r>
          </w:p>
        </w:tc>
        <w:tc>
          <w:tcPr>
            <w:tcW w:w="1243" w:type="dxa"/>
            <w:tcBorders/>
            <w:shd w:fill="CCCCCC" w:val="clear"/>
            <w:tcMar>
              <w:bottom w:w="0" w:type="dxa"/>
            </w:tcMar>
            <w:vAlign w:val="center"/>
          </w:tcPr>
          <w:p>
            <w:pPr>
              <w:pStyle w:val="TableContents"/>
              <w:bidi w:val="0"/>
              <w:spacing w:before="0" w:after="283"/>
              <w:jc w:val="right"/>
              <w:rPr/>
            </w:pPr>
            <w:r>
              <w:rPr/>
              <w:t xml:space="preserve">6,607,091 </w:t>
            </w:r>
          </w:p>
        </w:tc>
        <w:tc>
          <w:tcPr>
            <w:tcW w:w="114"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c>
          <w:tcPr>
            <w:tcW w:w="322" w:type="dxa"/>
            <w:tcBorders/>
            <w:shd w:fill="CCCCCC" w:val="clear"/>
            <w:tcMar>
              <w:bottom w:w="0" w:type="dxa"/>
            </w:tcMar>
            <w:vAlign w:val="center"/>
          </w:tcPr>
          <w:p>
            <w:pPr>
              <w:pStyle w:val="TableContents"/>
              <w:bidi w:val="0"/>
              <w:spacing w:before="0" w:after="283"/>
              <w:jc w:val="right"/>
              <w:rPr/>
            </w:pPr>
            <w:r>
              <w:rPr/>
              <w:t>​</w:t>
            </w:r>
          </w:p>
        </w:tc>
        <w:tc>
          <w:tcPr>
            <w:tcW w:w="845" w:type="dxa"/>
            <w:tcBorders/>
            <w:shd w:fill="CCCCCC" w:val="clear"/>
            <w:tcMar>
              <w:bottom w:w="0" w:type="dxa"/>
            </w:tcMar>
            <w:vAlign w:val="center"/>
          </w:tcPr>
          <w:p>
            <w:pPr>
              <w:pStyle w:val="TableContents"/>
              <w:bidi w:val="0"/>
              <w:spacing w:before="0" w:after="283"/>
              <w:jc w:val="right"/>
              <w:rPr/>
            </w:pPr>
            <w:r>
              <w:rPr/>
              <w:t>​</w:t>
            </w:r>
          </w:p>
        </w:tc>
        <w:tc>
          <w:tcPr>
            <w:tcW w:w="156"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left"/>
              <w:rPr/>
            </w:pPr>
            <w:r>
              <w:rPr/>
              <w:t>​</w:t>
            </w:r>
          </w:p>
        </w:tc>
        <w:tc>
          <w:tcPr>
            <w:tcW w:w="121" w:type="dxa"/>
            <w:tcBorders/>
            <w:shd w:fill="CCCCCC" w:val="clear"/>
            <w:tcMar>
              <w:bottom w:w="0" w:type="dxa"/>
            </w:tcMar>
            <w:vAlign w:val="center"/>
          </w:tcPr>
          <w:p>
            <w:pPr>
              <w:pStyle w:val="TableContents"/>
              <w:bidi w:val="0"/>
              <w:spacing w:before="0" w:after="283"/>
              <w:jc w:val="right"/>
              <w:rPr/>
            </w:pPr>
            <w:r>
              <w:rPr/>
              <w:t>​</w:t>
            </w:r>
          </w:p>
        </w:tc>
        <w:tc>
          <w:tcPr>
            <w:tcW w:w="1327" w:type="dxa"/>
            <w:tcBorders/>
            <w:shd w:fill="CCCCCC" w:val="clear"/>
            <w:tcMar>
              <w:bottom w:w="0" w:type="dxa"/>
            </w:tcMar>
            <w:vAlign w:val="center"/>
          </w:tcPr>
          <w:p>
            <w:pPr>
              <w:pStyle w:val="TableContents"/>
              <w:bidi w:val="0"/>
              <w:spacing w:before="0" w:after="283"/>
              <w:jc w:val="right"/>
              <w:rPr/>
            </w:pPr>
            <w:r>
              <w:rPr/>
              <w:t>4,095,162</w:t>
            </w:r>
          </w:p>
        </w:tc>
        <w:tc>
          <w:tcPr>
            <w:tcW w:w="121"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following equity compensation plans: (A) the Current Plan and (B) the Repay Holdings Corporation 2021 Employee Stock Purchase Plan (the “ESPP”). </w:t>
      </w:r>
      <w:r>
        <mc:AlternateContent>
          <mc:Choice Requires="wps">
            <w:drawing>
              <wp:anchor behindDoc="0" distT="1016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the following equity awards were outstanding under the Current Plan: 1,148,822 unvested PSOs, 1,736,520 unvested PSUs, 171,384 unvested restricted stock units and 3,550,365 unvested restricted stock awards. The PSU share numbers are based on the “target” payout level of our outstanding unearned PSUs. No amounts are included for outstanding purchase rights under the ESPP. </w:t>
      </w:r>
      <w:r>
        <mc:AlternateContent>
          <mc:Choice Requires="wps">
            <w:drawing>
              <wp:anchor behindDoc="0" distT="508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8"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$6.13 per share of Class A common stock only applies to the 1,148,822 unvested PSOs. </w:t>
      </w:r>
      <w:r>
        <mc:AlternateContent>
          <mc:Choice Requires="wps">
            <w:drawing>
              <wp:anchor behindDoc="0" distT="508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09"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3,366,184 shares of our Class A common stock were available for awards under the Current Plan. This number is based on the “target” payout level of our outstanding unearned PSUs. Taking into account the maximum potential payout level of our outstanding unearned PSUs, then, as of December 31, 2023, 1,629,664 shares of our Class A common stock were available for awards under our Current Plan. On February 9, 2024, the Compensation Committee determined that the TSR performance thresholds were not met and all 2021 PSUs were forfeited. As of December 31, 2023, 728,978 shares of our Class A common stock were available for issuance pursuant to rights granted under the ESPP. </w:t>
      </w:r>
      <w:r>
        <mc:AlternateContent>
          <mc:Choice Requires="wps">
            <w:drawing>
              <wp:anchor behindDoc="0" distT="5080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0"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Persons in the Second Amended and Restated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should understand that our executive officers and non-employee directors may be considered to have an interest in the approval of the share increase amendment because they may in the future receive awards under the Second Amended and Restated Plan. Nevertheless, the Board believes that it is important to provide incentives and rewards for superior performance and the retention of experienced directors and officers by approving the share increase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 with Respect to Second Amended and Restated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votes cast is required to approve and adopt the Second Amended and Restated Plan. Abstentions and broker non-votes, if any, are not treated as votes cast, and therefore will have no effect on the outcome of the vote on this proposal. </w:t>
      </w:r>
    </w:p>
    <w:p>
      <w:pPr>
        <w:pStyle w:val="TextBody"/>
        <w:bidi w:val="0"/>
        <w:spacing w:lineRule="atLeast" w:line="240" w:before="10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the approval of the Second Amended and Restated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FRO"/>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PROPOSAL FOUR</w:t>
      </w:r>
      <w:r>
        <w:rPr>
          <w:rFonts w:ascii="Times New Roman;Times;serif" w:hAnsi="Times New Roman;Times;serif"/>
          <w:b/>
          <w:i w:val="false"/>
          <w:caps w:val="false"/>
          <w:smallCaps w:val="false"/>
          <w:color w:val="000000"/>
          <w:spacing w:val="-4"/>
          <w:sz w:val="20"/>
        </w:rPr>
        <w:t xml:space="preserve">: </w:t>
        <w:br/>
        <w:t xml:space="preserve">RATIFICATION OF SELECTION OF INDEPENDENT </w:t>
        <w:br/>
        <w:t>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ratify the Audit Committee’s selection of Grant Thornton as our independent registered public accounting firm for the fiscal year ending December 31, 2024. Grant Thornton has served as our independent registered public accounting firm since 2018.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Although ratification is not required by our Bylaws or otherwise, the Board is submitting the selection of Grant Thornton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 representative of Grant Thornton will attend the Annual Meeting and the representative will have an opportunity to make a statement if he or she so chooses. The representative will also be available to respond to appropriate questions from stockholders.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the ratification of the selection of </w:t>
        <w:br/>
        <w:t xml:space="preserve">Grant Thornton LLP as the Company’s independent registered public accounting firm.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STPR"/>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Annual Meeting of Stockholders is anticipated to be held in May or June 2025. Under Rule 14a-8 promulgated by the SEC under the Exchange Act, any proposal that a stockholder intends to be presented at the 2025 Annual Meeting via the proxy statement and form of proxy to be distributed by us in connection with the 2025 Annual Meeting, must be received by the Corporate Secretary of Repay at our principal executive offices no later than December 20, 2024. However, if the 2025 Annual Meeting is held on a date more than 30 days before or after May 30, 2025 (the anniversary date of the 2024 Annual Meeting), stockholder proposals for the 2025 Annual Meeting must be submitted a reasonable time before we begin to print and send our proxy materials. Stockholder proposals received after this date will be considered untimely under Rule 14a-8.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stockholder desires to bring a matter before the meeting that is not the subject of a proposal meeting the SEC proxy rule requirements for inclusion in the proxy statement or a nomination of a director, the stockholder must follow procedures outlined in our Bylaws in order to nominate the director or personally present the proposal at the meeting. One of the procedural requirements is timely notice in writing of the business the stockholder proposes to bring before the meeting. Written notice must be received by the Corporate Secretary of Repay no earlier than January 30, 2025 and no later than March 1, 2025. In the event that our 2025 Annual Meeting is more than 30 days before or more than 70 days after May 30, 2025 (the anniversary date of the 2024 Annual Meeting), the written notice must be delivered or received not earlier than the close of business on the 120th day prior to the 2025 Annual Meeting and not later than the close of business on the later of (i) the 90th day prior to the 2025 Annual Meeting or (ii) the tenth day following the date on which public announcement of the meeting date was first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adopted final rules under Rule 14a-19 promulgated under the Exchange Act requiring the use of universal proxy cards by management and stockholders soliciting proxy votes for their candidates in director election contests. Under the new Rule 14a-19, the universal proxy card must include all director nominees presented by management and stockholders for election at the at the upcoming stockholder meeting. One of the procedural requirements is that stockholders presenting their own director candidates in the contest must solicit holders of a minimum of 67% of the voting power of shares entitled to vote in the election. The stockholders who intend to solicit proxies of director nominees must provide notice that sets forth the information required by Rule 14a-19. Registered investment companies are not subject to the universal proxy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reserve the right to decline to include in our proxy materials any stockholder’s proposal that does not comply with the rules of the SEC for inclusion therein. We will furnish copies of the applicable Bylaw provisions that set forth the requirements for a stockholder’s written notice upon written request to the Corporate Secretary of Repay at the address listed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AHC"/>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REPAY HOLDINGS CORPORATION </w:t>
        <w:br/>
        <w:t>SECOND AMENDED AND RESTATED OMNIBUS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(As Amended and Restated by the Board of Directors Effective as of April 19, 2024 </w:t>
        <w:br/>
        <w:t>Subject to Approval by the Stockholders on May 30,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Purpose and Stockholder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Repay Holdings Corporation, a Delaware corporation (the “Company”), hereby amends and restates the Repay Holdings Corporation Omnibus Incentive Plan (prior to this amendment and restatement, the “Prior Plan” and, after this amendment and restatement, the Repay Holdings Corporation Second Amended and Restated Omnibus Incentive Plan (the “Plan”)), effective as of April 19, 2024. The Plan is intended to recognize the contributions made to the Company and its Affiliates by its employees, directors, consultants and advisors of the Company, to provide such persons with additional incentive to devote themselves to the future success of the Company, to improve the ability of the Company to attract, retain, and motivate individuals upon whom the Company’s sustained growth and financial success depend, by providing such persons with an opportunity to acquire or increase their proprietary interest in the Company. To this end, the Plan provides for the grant of stock options, stock appreciation rights, restricted stock, restricted stock units and dividend equivalent rights. Any of these awards may, but need not, be made as performance incentives to reward attainment of annual or long-term performance goals at the Committee’s sole and absolute discretion. Stock options granted under the Plan may be non-qualified stock options or incentive stock options, as provided herein, except that stock options granted to any person who is not an employee of the Company shall in all cases be non-qualified stock options.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Plan is contingent on and subject to its approval by the Company’s stockholders at the Company’s stockholders meeting scheduled for May 30, 2024. No grants or awards shall be made under the Plan if the Plan is not so approved. If the Plan is not so approved, the Prior Plan shall remain in effect pursuant to its original terms.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Plan shall affect only Awards granted under the Plan on and after its approval by the Company’s stockholders at the Company’s stockholders meeting scheduled for May 30, 2024. Awards granted under the Prior Plan shall be governed by the terms of the Prior Plan and the applicable Award Agreements. The terms of this Plan are not intended to affect the interpretation of the terms of the Prior Plan. If the Company’s stockholders approve the Plan, no further Awards shall be granted under the Prior Plan after the date of such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Unless the context clearly indicates otherwise, the following terms shall have the following meanings: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“Affiliate” means a corporation that is a parent corporation or a subsidiary corporation with respect to the Company within the meaning of Section 424(e) or (f) of the Code, and any other non-corporate entity that would be such a subsidiary corporation if such entity were a corporation. For purposes of ISOs, an Affiliate means only a corporate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“Award” means an award of Restricted Stock, Restricted Stock Units, Stock Options, Stock Appreciation Rights or Dividend Equivalent Rights granted under the Plan, designated by the Committee at the time of such grant as an Award, and containing the terms specified herein for Awards.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“Award Document” means the written or electronic document that sets forth the terms and conditions of each grant of an Award. Awards shall be evidenced by an Award Document in such form as the Committee shall from time to time approve, which Award Document shall comply with and be subject to the terms and conditions of the Plan and such other terms and conditions as the Committee shall from time to time require that are not inconsistent with the terms of the Plan. A Grantee shall not have any rights with respect to an Award until and unless such Grantee shall have executed an Award Document containing the terms and conditions determined by the Committee.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“Board of Directors” means the Board of Directors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“Cause” shall have the same definition as under any employment agreement between the Company or any Affiliate and the Grantee or, if no such employment agreement exists or if such employment agreement does not contain any such definition or words of similar import, “Cause” means, except as otherwise provided in an Award Document, that the Grantee should be or was dismissed as a result of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material breach by the Grantee of any agreement to which the Grantee and the Company or an Affiliate are parties,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act (other than retirement) or omission to act by the Grantee, including without limitation, the commission of any crime (other than ordinary traffic violations) that may have a material and adverse effect on the business of the Company or any Affiliate or on the Grantee’s ability to perform services for the Company or any Affiliate,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material misconduct or neglect of duties by the Grantee in connection with the business or affairs of the Company or any Affiliate.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“Change of Control” shall mean, except as otherwise provided in the Award Document, the first to occur of any of the following events: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date any transaction is consummated that constitutes the sale or other disposition of all or substantially all of the assets of the Company, other than where such transaction results in all or substantially all of the assets of the Company being held by an entity as to which at least a majority of the equity ownership of such entity immediately after the sale or disposition is held by the same persons and in the same proportions as the Company’s common stock was held immediately before such sale or other disposition;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date any transaction is consummated that constitutes a merger or consolidation of the Company with or into another corporation, other than a merger or consolidation of the Company in which holders of shares of the Common Stock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the same proportion as such holders’ ownership of Common Stock immediately before the merger or consolidation;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date any entity, person or group, (within the meaning of Section 13(d)(3) or Section 14(d)(2) of the Securities Exchange Act of 1934, as amended), other than the Company or any of its Affiliates or any employee benefit plan (or related trust) sponsored or maintained by the Company or any of its Affiliates, shall have become the beneficial owner of, or shall have obtained voting control over, more than fifty percent (50%) of the outstanding shares of the Common Stock;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first day after the date this Plan is effective when directors are elected such that a majority of the Board of Directors shall have been members of the Board of Directors for less than twenty four (24) months, unless the nomination for election of each new director who was not a director at the beginning of such twenty four (24) month period was approved by a vote of at least two thirds of the directors then still in office who were directors at the beginning of such period;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The date the stockholders of the Company (or the Board of Directors, if stockholder action is not required) approve a plan or other arrangement pursuant to which the Company will be dissolved or liquidated, the plan or other arrangement pursuant to which the Company will be dissolved or liquidated becomes irrevocable and no further contingences remain that could prevent the consummation of such plan or arrangement. For avoidance of doubt, any transaction done exclusively for the purpose of changing the domicile of the company shall not constitute a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“Code” means the Internal Revenue Code of 1986,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“Committee” shall have the meaning set forth in Section 3(a).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“Common Stock” means the Company’s Class A Common Stock, par value $0.0001 per share.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“Disability” shall have the meaning set forth in Section 22(e)(3) of the Code, provided, however, in the case of an Award that constitutes deferred compensation within the meaning of Section 409A of the Code, Disability means as defined in regulations under Code Section 409A where necessary for such Award to comply with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“Dividend Equivalent Right” means a right, granted to a Grantee under the terms of the Plan, to receive cash, Stock, other Awards or other property equal in value to dividends paid with respect to a specified number of shares of Stock, or other periodic payments.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“Exchange Act” means the Securities Exchange Act of 1934, as amended, and all rules and regulations promulgated thereunder.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“Fair Market Value” shall mean: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the Common Stock is traded on any national stock exchange or quotation system, then the Fair Market Value per Share shall be the last reported sale price per share thereof on the relevant date (or the closing price as of the most recent trading day prior to the relevant date if the relevant date is not a trading day), as reported on the stock exchange or quotation system that reflects the principal market on which the Common Stock is traded on such date;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the Common Stock is not traded on any national stock exchange or quotation system on the relevant date, the Fair Market Value shall be as determined in good faith by the Committee.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“Good Reason” shall have the same definition as under any employment agreement between the Company or any Affiliate and the Grantee or, if no such employment agreement exists or if such employment agreement does not contain any such definition or words of similar import, “Good Reason” shall mean, except as otherwise provided in an Award Document, the termination of employment by the Grantee following the occurrence, without the Grantee’s written consent, after a Change of Control of: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material reduction in the Grantee’s base salary or wage rate or target incentive opportunity;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relocation of the Grantee’s principal place of employment to a location more than fifty miles from the Grantee’s principal place of employment as of immediately prior to the Change of Control (if such relocation results in an increase in the Grantee’s commute);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the foregoing events shall constitute Good Reason only if the Grantee provides the Company with written objection to the event within thirty days following the occurrence thereof, the Company does not reverse or otherwise cure the event within thirty days of receiving that written objection and the Grantee resigns the Grantee’s employment within twenty days following the expiration of the Company’s thirty-day cure period.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“Grant Date” means the date established by the Committee as of which any Award has been granted to a Grantee.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“Grantee” means any person who is granted an Award.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“ISO” means an Option granted under the Plan that is intended to qualify as an “incentive stock option” within the meaning of Section 422(b)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“Non-Qualified Stock Option” means an Option granted under the Plan that is not intended to qualify, or otherwise does not qualify, as an “incentive stock option” within the meaning of Section 422(b)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“Option” or “Stock Option” means either an ISO or a Non-Qualified Stock Option granted under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“Option Price” means the price at which Shares may be purchased upon exercise of an Option, as calculated pursuant to the applicable provisions of the Plan.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“Restricted Stock” means Shares issued to a person pursuant to an Award.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“Rule 16b-3” means Rule 16b-3 promulgated under the Act or any successor Rule.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“Restricted Stock Unit” or “RSU” means a bookkeeping entry representing the equivalent of one (1) share of Common Stock awarded to a Grantee under Section 8 of the Plan.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“Shares” means the shares of Common Stock that are the subject of Awards.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   “Stock Appreciation Rights” or “SAR” means a right granted to a grantee under Section 7 of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   “Termination of Employment or Service in Connection with a Change of Control” shall be deemed to occur with respect to a Grantee if, within the one-year period (or such longer period as may be specified in an Award Document) beginning on the date of a Change of Control, the employment or service of the Grantee shall be terminated either (i) involuntarily for any reason other than for Cause, (ii) voluntarily for Good Reason or (iii) in the case of Directors, a required resignation from the Board of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Administration of the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The Plan shall be administered by the Compensation Committee of the Board of Directors (the “Committee”) provided such committee consists of at least two members of the Board of Directors, each of whom qualifies as a “non-employee director” ​(as that phrase is used for purposes of Rule 16b-3) and as an “independent director” ​(as that phrase is used by the rules of the stock exchange on which the Company’s shares are traded). The foregoing requirement for members of the Compensation Committee to act as the Committee shall not be applicable if the Company ceases to be a publicly traded corporation. Notwithstanding anything in this Section 3(a) to the contrary,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Any such allocation or delegation may be revoked by the Committee at any time. Without limiting the generality of the foregoing, the Committee may delegate to one or more officers of the Company or its Affiliates the authority to act on behalf of the Committee with respect to any matter, right, obligation, or election which is the responsibility of, or which is allocated to, the Committee herein, and which may be so delegated as a matter of law, except for grants of Awards to non-employee members of the Board of Directors and officers of the Company who are subject to Section 16 of the Exchange Act. Notwithstanding anything to the contrary contained in the Plan, the Board of Directors itself shall act as the Committee with respect to Awards made to non-employee members of the Board of Directors and may, in its sole discretion, at any time and from time to time, grant Awards and administer the Plan with respect to such Awards. In any such case, the Board of Directors shall have all the authority granted to the Committee under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Grants</w:t>
      </w:r>
      <w:r>
        <w:rPr>
          <w:rFonts w:ascii="Times New Roman;Times;serif" w:hAnsi="Times New Roman;Times;serif"/>
          <w:b w:val="false"/>
          <w:i w:val="false"/>
          <w:caps w:val="false"/>
          <w:smallCaps w:val="false"/>
          <w:color w:val="000000"/>
          <w:spacing w:val="4"/>
          <w:sz w:val="20"/>
        </w:rPr>
        <w:t xml:space="preserve">.   The Committee shall from time to time at its discretion direct the Company to grant Awards pursuant to the terms of the Plan. The Committee shall have plenary authority to (i) determine the Grantees to whom and the times at which Awards shall be granted, (ii) subject to Section 6(b) below, determine the price at which Options shall be granted, (iii) determine the type of Option to be granted and the number of Shares subject thereto, (iv) determine the number of Shares to be granted pursuant to each Award, (v) approve the form and terms and conditions of the Award Documents and of each Award, and (vi) to accelerate the exercisability or vesting of an Award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in Control, or, in the case of a director, a required resignation from the Board of Directors in connection with a Change in Control; all subject, however, to the express provisions of the Plan, including, specifically, Section 10 regarding grants of Awards to non-employee members of the Board of Directors. In making such determinations, the Committee may take into account the nature of the Grantee’s services and responsibilities, the Grantee’s present and potential contribution to the Company’s success and such other factors as it may deem relevant. The interpretation and construction by the Committee of any provisions of the Plan or of any Award granted under it shall be final, binding and conclusive.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Exculpation</w:t>
      </w:r>
      <w:r>
        <w:rPr>
          <w:rFonts w:ascii="Times New Roman;Times;serif" w:hAnsi="Times New Roman;Times;serif"/>
          <w:b w:val="false"/>
          <w:i w:val="false"/>
          <w:caps w:val="false"/>
          <w:smallCaps w:val="false"/>
          <w:color w:val="000000"/>
          <w:spacing w:val="4"/>
          <w:sz w:val="20"/>
        </w:rPr>
        <w:t xml:space="preserve">.   No member of the Committee shall be personally liable for monetary damages as such for any action taken or any failure to take any action in connection with the administration of the Plan or the granting of Awards thereunder except to the extent such exculpation is prohibited by provisions of the applicable business corporations law;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provisions of this Section 3(c) shall not apply to the responsibility or liability of a member of the Committee pursuant to any criminal statute or to the liability of a member of the Committee for the payment of taxes pursuant to local, state or federal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Indemnification</w:t>
      </w:r>
      <w:r>
        <w:rPr>
          <w:rFonts w:ascii="Times New Roman;Times;serif" w:hAnsi="Times New Roman;Times;serif"/>
          <w:b w:val="false"/>
          <w:i w:val="false"/>
          <w:caps w:val="false"/>
          <w:smallCaps w:val="false"/>
          <w:color w:val="000000"/>
          <w:spacing w:val="4"/>
          <w:sz w:val="20"/>
        </w:rPr>
        <w:t xml:space="preserve">.   Service on the Committee shall constitute service as a member of the Board of Directors. Each member of the Committee shall be entitled without further act on his or her part to indemnity from the Company to the fullest extent provided by applicable law and the Company’s Certificate of Incorporation and/or Bylaws in connection with or arising out of any action, suit or proceeding with respect to the administration of the Plan or the granting of Options or Awards thereunder in which he or she may be involved by reason of his or her being or having been a member of the Committee, whether or not he or she continues to be such member of the Committee at the time of the action, suit or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All employees (including employees who are members of the Board of Directors or its Affiliates), directors, consultants and advisors of the Company or its Affiliates shall be eligible to receive Awards hereunder;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only employees of the Company or its Affiliates shall be eligible to receive ISOs. The Committee, in its sole discretion, shall determine whether an individual qualifies as an employee of the Company or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Term of the Plan</w:t>
      </w:r>
      <w:r>
        <w:rPr>
          <w:rFonts w:ascii="Times New Roman;Times;serif" w:hAnsi="Times New Roman;Times;serif"/>
          <w:b w:val="false"/>
          <w:i w:val="false"/>
          <w:caps w:val="false"/>
          <w:smallCaps w:val="false"/>
          <w:color w:val="000000"/>
          <w:spacing w:val="4"/>
          <w:sz w:val="20"/>
        </w:rPr>
        <w:t xml:space="preserve">.   No Award may be granted under the Plan after April 19, 2034.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Stock Options and Terms</w:t>
      </w:r>
      <w:r>
        <w:rPr>
          <w:rFonts w:ascii="Times New Roman;Times;serif" w:hAnsi="Times New Roman;Times;serif"/>
          <w:b w:val="false"/>
          <w:i w:val="false"/>
          <w:caps w:val="false"/>
          <w:smallCaps w:val="false"/>
          <w:color w:val="000000"/>
          <w:spacing w:val="4"/>
          <w:sz w:val="20"/>
        </w:rPr>
        <w:t xml:space="preserve">.   Each Option granted under the Plan shall be a Non-Qualified Stock Option unless the Option shall be specifically designated at the time of grant to be an ISO. Options granted pursuant to the Plan shall be evidenced by the Award Documents in such form as the Committee shall from time to time approve, which Award Documents shall comply with and be subject to the following terms and conditions and such other terms and conditions as the Committee shall from time to time require that are not inconsistent with the terms of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Each Award Document shall state the number of Shares to which it pertains. A Grantee may receive more than one Option, which may include Options that are intended to be ISOs and Options that are not intended to be ISOs, but only on the terms and subject to the conditions and restrictions of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Option Price</w:t>
      </w:r>
      <w:r>
        <w:rPr>
          <w:rFonts w:ascii="Times New Roman;Times;serif" w:hAnsi="Times New Roman;Times;serif"/>
          <w:b w:val="false"/>
          <w:i w:val="false"/>
          <w:caps w:val="false"/>
          <w:smallCaps w:val="false"/>
          <w:color w:val="000000"/>
          <w:spacing w:val="4"/>
          <w:sz w:val="20"/>
        </w:rPr>
        <w:t xml:space="preserve">.   Each Award Document shall state the Option Price that shall be at least 100% of the Fair Market Value of the Shares at the time the Option is granted as determined by the Committee in accordance with this Section 6(b);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an ISO is granted to a Grantee who then owns, directly or by attribution under Section 424(d) of the Code, shares of capital stock of the Company possessing more than 10% of the total combined voting power of all classes of stock of the Company or an Affiliate, then the Option Price shall be at least 110% of the Fair Market Value of the Shares at the time the Option is granted.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Exercise</w:t>
      </w:r>
      <w:r>
        <w:rPr>
          <w:rFonts w:ascii="Times New Roman;Times;serif" w:hAnsi="Times New Roman;Times;serif"/>
          <w:b w:val="false"/>
          <w:i w:val="false"/>
          <w:caps w:val="false"/>
          <w:smallCaps w:val="false"/>
          <w:color w:val="000000"/>
          <w:spacing w:val="4"/>
          <w:sz w:val="20"/>
        </w:rPr>
        <w:t xml:space="preserve">.   No Option shall be deemed to have been exercised prior to the receipt by the Company of written notice of such exercise and of payment in full of the Option Price for the Shares to be purchased. Each such notice shall specify the number of Shares to be purchased and shall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covered by a then effective registration statement or a Notification under Regulation A under the Securities Act of 1933, as amended (the “Act”)), contain the Grantee’s acknowledgment in form and substance satisfactory to the Company that (i) such Shares are being purchased for investment and not for distribution or resale (other than a distribution or resale that, in the opinion of counsel satisfactory to the Company, may be made without violating the registration provisions of the Act), (ii) the Grantee has been advised and understands that (A) the Shares have not been registered under the Act and are “restricted securities” within the meaning of Rule 144 under the Act and are subject to restrictions on transfer and (B) the Company is under no obligation to register the Shares under the Act or to take any action that would make available to the Grantee any exemption from such registration, (iii) such Shares may not be transferred without compliance with all applicable federal and state securities laws, and (iv) an appropriate legend referring to the foregoing restrictions on transfer and any other restrictions imposed under the Award Documents may be endorsed on the certificates. Notwithstanding the foregoing, if the Company determines that issuance of Shares should be delayed pending (I) registration under federal or state securities laws, (II) the receipt of an opinion that an appropriate exemption from such registration is available, (III) the listing or inclusion of the Shares on any securities exchange or in an automated quotation system or (IV) the consent or approval of any governmental regulatory body whose consent or approval is necessary in connection with the issuance of such Shares, the Company may defer exercise of any Option granted hereunder until any of the events described in this Section 6(c) has occurred.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Stockholder Rights Prior to Exercise</w:t>
      </w:r>
      <w:r>
        <w:rPr>
          <w:rFonts w:ascii="Times New Roman;Times;serif" w:hAnsi="Times New Roman;Times;serif"/>
          <w:b w:val="false"/>
          <w:i w:val="false"/>
          <w:caps w:val="false"/>
          <w:smallCaps w:val="false"/>
          <w:color w:val="000000"/>
          <w:spacing w:val="4"/>
          <w:sz w:val="20"/>
        </w:rPr>
        <w:t xml:space="preserve">.   No Grantee shall, solely by reason of having been granted one or more Options, have any rights as a stockholder of the Company and shall have no right to vote Shares subject to the Option, nor any right to receive any dividends declared or paid with respect to such Shares unless and until the Grantee has exercised his or her Option and acquired such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Medium of Payment</w:t>
      </w:r>
      <w:r>
        <w:rPr>
          <w:rFonts w:ascii="Times New Roman;Times;serif" w:hAnsi="Times New Roman;Times;serif"/>
          <w:b w:val="false"/>
          <w:i w:val="false"/>
          <w:caps w:val="false"/>
          <w:smallCaps w:val="false"/>
          <w:color w:val="000000"/>
          <w:spacing w:val="4"/>
          <w:sz w:val="20"/>
        </w:rPr>
        <w:t xml:space="preserve">.   A Grantee shall pay for Shares (i) in cash, (ii) by certified check payable to the order of the Company, or (iii) by such other mode of payment as the Committee may approve, including, without limitation, payment through a broker in accordance with procedures permitted by Regulation T of the Federal Reserve Board. Furthermore, the Committee may provide in an Award Document that payment may be made in whole or in part in shares of Common Stock held by the Grantee. If payment is made in whole or in part in shares of Common Stock, then the Grantee shall deliver to the Company certificates registered in the name of such Grantee representing the shares of Common Stock owned by such Grantee, free of all liens, claims and encumbrances of every kind and having an aggregate Fair Market Value on the date of delivery that is at least as great as the Option Price of the Shares (or relevant portion thereof) with respect to which such Option is to be exercised by the payment in shares of Common Stock, accompanied by stock powers duly endorsed in blank by the Grantee. A Grantee may also pay for Shares by delivery of Shares to be acquired upon the exercise of such Option, with such Shares being valued at the Fair Market Value on the date of exercise. Notwithstanding the foregoing, the Committee may impose from time to time such limitations and prohibitions on the use of shares of Common Stock to exercise an Option as it deems appropriate.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Options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Option shall be exercisable after the first to occur of the following: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Expiration of the Option term specified in the Award Document, which shall not exceed (i) ten years from the Grant Date, or (ii) five years from the Grant Date of an ISO if the Grantee on the Grant Date owns, directly or by attribution under Section 424(d) of the Code, shares of capital stock of the Company possessing more than ten percent (10%) of the total combined voting power of all classes of capital stock of the Company or of an Affiliate;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Except as otherwise provided in the Award Document, expiration of ninety (90) days from the date the Grantee’s employment or service with the Company or its Affiliate terminates for any reason other than Disability or death or as otherwise specified in this Section 6 or Section 13 below;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Except as otherwise provided in the Award Document, expiration of one year from the date the Grantee’s employment or service with the Company or its Affiliate terminates due to the Grantee’s Disability or death;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date on which the employment or service of the Grantee shall be terminated for Cause. In such event, in addition to immediate termination of the Option, the Grantee shall automatically forfeit all Shares for which the Company has not yet delivered the share certificates upon refund by the Company of the Option Price of such Shares; or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date, if any, set by the Board of Directors as an accelerated expiration date pursuant to Section 12 hereof.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Notwithstanding the foregoing, the Committee may extend the period during which an Option may be exercised to a date no later than the date of the expiration of the Option term specified in the Award Documents, as they may be amended, provided that any change pursuant to this Section 6(f)(ii) that would cause an ISO to become a Non-Qualified Stock Option may be made only with the consent of the Grantee, and further provided that such extension is permitted by law and does not violate Code Section 409A with respect to the Option.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During the period in which an Option may be exercised after the termination of the Grantee’s employment or service with the Company or any Affiliate, such Option shall only be exercisable to the extent it was exercisable immediately prior to such Grantee’s termination of service or employment, except to the extent specifically provided to the contrary in the applicable Award Document.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Notwithstanding the foregoing, in the event that on the last business day of the term of an Option (x) the exercise of the Option is prohibited by applicable law or (y)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Option Price of such Option at the date the term of the Option would otherwise expire is above the Fair Market Value of the underlying Shares or if the extension would result in failure to comply with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Except as provided in Section 24, no Option may be transferred except by will or by the laws of descent and distribution. During the lifetime of the person to whom an Option is granted, such Option may be exercised only by him or her except as provided in Section 24. Notwithstanding the foregoing, a Non-Qualified Stock Option may be transferred pursuant to the terms of a “qualified domestic relations order” within the meaning of Sections 401(a)(13) and 414(p) of the Code or within the meaning of Title I of the Employee Retirement Income Security Act of 1974, as amended.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Exercisability</w:t>
      </w:r>
      <w:r>
        <w:rPr>
          <w:rFonts w:ascii="Times New Roman;Times;serif" w:hAnsi="Times New Roman;Times;serif"/>
          <w:b w:val="false"/>
          <w:i w:val="false"/>
          <w:caps w:val="false"/>
          <w:smallCaps w:val="false"/>
          <w:color w:val="000000"/>
          <w:spacing w:val="4"/>
          <w:sz w:val="20"/>
        </w:rPr>
        <w:t xml:space="preserve">.   No Option may be exercised except to the extent the Option has become vested pursuant to its terms.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Limitation on ISO Grants</w:t>
      </w:r>
      <w:r>
        <w:rPr>
          <w:rFonts w:ascii="Times New Roman;Times;serif" w:hAnsi="Times New Roman;Times;serif"/>
          <w:b w:val="false"/>
          <w:i w:val="false"/>
          <w:caps w:val="false"/>
          <w:smallCaps w:val="false"/>
          <w:color w:val="000000"/>
          <w:spacing w:val="4"/>
          <w:sz w:val="20"/>
        </w:rPr>
        <w:t xml:space="preserve">.   In no event shall the aggregate Fair Market Value of the Shares (determined at the time the ISO is granted) with respect to which an ISO is exercisable for the first time by the Grantee during any calendar year (under all incentive stock option plans of the Company or its Affiliates) exceed $100,000 (determined as of the Grant Date or Dates).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Other Provisions</w:t>
      </w:r>
      <w:r>
        <w:rPr>
          <w:rFonts w:ascii="Times New Roman;Times;serif" w:hAnsi="Times New Roman;Times;serif"/>
          <w:b w:val="false"/>
          <w:i w:val="false"/>
          <w:caps w:val="false"/>
          <w:smallCaps w:val="false"/>
          <w:color w:val="000000"/>
          <w:spacing w:val="4"/>
          <w:sz w:val="20"/>
        </w:rPr>
        <w:t xml:space="preserve">.   The Award Documents shall contain such other provisions including, without limitation, provisions authorizing the Committee to accelerate the exercisability of all or any portion of an Option, additional restrictions upon the exercise of the Option or additional limitations upon the term of the Option, as the Committee shall deem advisable.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The Committee shall have the right to amend Award Documents issued to a Grantee, subject to the Grantee’s consent if such amendment is not favorable to the Grantee, except that the consent of the Grantee shall not be required for any amendment made under Section 13, and no amendment shall be made, without approval by the Company’s stockholders, to the extent required under Sections 11(b) or 15 of the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Stock Appreciation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 SAR is an Award in the form of a right to receive cash or Common Stock, upon surrender of the SAR, in an amount equal to the appreciation in the value of the Common Stock over a base price established in the Award. An SAR shall confer on the Grantee to whom it is granted a right to receive, upon exercise thereof, the excess of (A) the Fair Market Value of one share of Common Stock on the date of exercise over (B) the grant price of the SAR as determined by the Committee. The Award Document for an SAR shall specify the grant price of the SAR, which shall be at least the Fair Market Value of a share of Common Stock on the Grant Date. SARs may be granted in tandem with all or part of an Option granted under the Plan or at any subsequent time during the term of such Option, in tandem with all or part of any other Award or without regard to any Option or other Award; provided that an SAR that is granted subsequent to the Grant Date of a related Option must have an SAR Price that is no less than the Fair Market Value of one share of Common Stock on the Grant Date of the Option.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Committee shall determine at the Grant Date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SAR granted under the Plan shall terminate, and all rights thereunder shall cease, upon the expiration of not more than ten years from the date such SAR is granted, or under such circumstances and on such date prior thereto as is set forth in the Plan or as may be fixed by the Committee and stated in the Award Document relating to such SAR. Notwithstanding the foregoing, in the event that on the last business day of the term of a SAR (x) the exercise of the SAR is prohibited by applicable law or (y)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SAR Price of such SAR at the date the term of the SAR would otherwise expire is above the Fair Market Value of the underlying Shares or if the extension would result in failure to comply with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Holders of an SAR shall have no rights as stockholders of the Company solely by reason of having granted one or more SARs. Holders of an SAR shall have no right to vote such Shares or the right to receive any dividends declared or paid with respect to such Shares.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 holder of an SAR shall have no rights other than those of a general creditor of the Company. An SAR represents an unfunded and unsecured obligation of the Company, subject to the terms and conditions of the applicable Award Document.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Unless the Committee otherwise provides in an Award Document, in the event that a Grantee’s employment with the Company terminates for any reason other than because of death or Disability, any SAR held by such Grantee shall be forfeited by the Grantee and reacquired by the Company. In the event that a Grantee’s employment terminates as a result of the Grantee’s death or Disability, all remaining restrictions with respect to such Grantee’s SAR shall immediately lapse, unless otherwise provided in the Award Document. Upon forfeiture of an SAR, the Grantee shall have no further rights with respect to such Award.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provided in this Section 7, during the lifetime of a Grantee, only the Grantee (or, in the event of legal incapacity or incompetency, the Grantee’s guardian or legal representative) may exercise an SAR. Except as provided in this Section 7 or Section 24, no SAR shall be assignable or transferable by the Grantee to whom it is granted, other than by will or the laws of descent and distribution.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Restricted Stock and Restricted Stock Units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Restricted Stock is an Award of shares of Common Stock that is granted subject to the satisfaction of such conditions and restrictions as the Committee may determine. In lieu of, or in addition to any Awards of Restricted Stock, the Committee may grant Restricted Stock Units to any Grantee subject to the same conditions and restrictions as the Committee would have imposed in connection with any Award of Restricted Stock. Each Restricted Stock Unit shall have a value equal to the fair market value of one share of Common Stock. Each Award Document shall state the number of shares of Restricted Stock or Restricted Stock Units to which it pertains. No cash or other consideration shall be required to be paid by a Grantee for an Award.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time a grant of Restricted Stock or Restricted Stock Units is made, the Committee may, in its sole discretion, establish a period of time (a “restricted period”) applicable to such Restricted Stock or Restricted Stock Units. Each Award of Restricted Stock or Restricted Stock Units may be subject to a different restricted period. The Committee may, in its sole discretion, at the time a grant of Restricted Stock or Restricted Stock Units is made, prescribe restrictions in addition to or other than the expiration of the restricted period, including the satisfaction of corporate or individual performance objectives, which may be applicable to all or any portion of the Restricted Stock or Restricted Stock Units. Except as provided in Section 24, neither Restricted Stock nor Restricted Stock Units may be sold, transferred, assigned, pledged or otherwise encumbered or disposed of during the restricted period or prior to the satisfaction of any other restrictions prescribed by the Committee with respect to such Restricted Stock or Restricted Stock Units.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issue, in the name of each Grantee to whom Restricted Stock has been granted, stock certificates representing the total number of shares of Restricted Stock granted to the Grantee, as soon as reasonably practicable after the Grant Date. The Committee may provide in an Award Document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xml:space="preserve"> that such certificates shall bear a legend or legends that comply with the applicable securities laws and regulations and makes appropriate reference to the restrictions imposed under the Plan and the Award Document.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Unless the Committee otherwise provides in an Award Document, holders of Restricted Stock shall have the right to vote such Shares. Under no circumstances shall the holder of Restricted Stock be entitled to receive any dividends declared or paid with respect to such Shares until such time as the Restricted Stock becomes vested. The Committee may provide that any dividends paid on Restricted Stock must be reinvested in shares of Common Stock, which shall then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Grant.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Holders of Restricted Stock Units shall have no rights as stockholders of the Company. The Committee may provide in an Award Document evidencing a grant of Restricted Stock Units that the holder of such Restricted Stock Units shall be entitled to receive, upon the Company’s payment of a cash dividend on its outstanding Common Stock, a cash payment for each Restricted Stock Unit held equal to the per-share dividend paid on the Common Stock; provided, however, that such cash dividend shall not be distributed to the holder of such Restricted Stock Units until the Restricted Stock Units become vested. The Award Document may also provide that such cash payment will be deemed reinvested in additional Restricted Stock Units at a price per unit equal to the Fair Market Value of a share of Common Stock on the date that such dividend is paid, but such additional Restricted Stock Units shall in all cases be subject to the same restrictions that apply to the original Restricted Stock Units.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 holder of Restricted Stock Units shall have no rights other than those of a general creditor of the Company. Restricted Stock Units represent an unfunded and unsecured obligation of the Company, subject to the terms and conditions of the applicable Award Document.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Unless the Committee otherwise provides in an Award Document, in the event that a Grantee’s employment with the Company terminates for any reason other than death or Disability,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or Restricted Stock Units held by such Grantee shall be forfeited by the Grantee and reacquired by the Company. In the event that a Grantee’s employment terminates as a result of the Grantee’s death or Disability, all remaining restrictions with respect to such Grantee’s Restricted Stock shall immediately lapse, unless otherwise provided in the Award Document. Upon forfeiture of Restricted Stock or Restricted Stock Units, the Grantee shall have no further rights with respect to such Award, including but not limited to any right to vote Restricted Stock or any right to receive dividends with respect to shares of Restricted Stock or Restricted Stock Units.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Upon the expiration or termination of any restricted period and the satisfaction of any other conditions prescribed by the Committee, the restrictions applicable to shares of Restricted Stock or Restricted Stock Units settled in Stock shall lapse, and, unless otherwise provided in the Award Document, a stock certificate for such shares shall be delivered, free of all such restrictions, to the Grantee or the Grantee’s beneficiary or estate, as the case may be. The restrictions upon such Restricted Stock or Restricted Stock Units shall lapse only if the Grantee on the date of such lapse is, and has continuously been an employee of the Company or its Affiliate from the date such Award was granted. Neither the Grantee, nor the Grantee’s beneficiary or estate, shall have any further rights with regard to a Restricted Stock Unit once the share of Stock represented by the Restricted Stock Unit has been delivered.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Restricted Stock and Restricted Stock Units are intended to be subject to a substantial risk of forfeiture during the restricted period, and, in the case of Restricted Stock (but not Restricted Stock Units) subject to federal income tax in accordance with section 83 of the Code. Section 83 generally provides that Grantee will recognize compensation income with respect to each installment of the Restricted Stock on the Vesting Date in an amount equal to the then Fair Market Value of the shares for which restrictions have lapsed. Alternatively, Grantee may elect, pursuant to Section 83(b) of the Code, to recognize compensation income for all or any part of the Restricted Stock at the Grant Date in an amount equal to the fair market value of the Restricted Stock subject to the election on the Grant Date. Such election must be made within 30 days of the Grant Date and Grantee shall immediately notify the Company if such an election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Dividend Equivalent Rights</w:t>
      </w:r>
      <w:r>
        <w:rPr>
          <w:rFonts w:ascii="Times New Roman;Times;serif" w:hAnsi="Times New Roman;Times;serif"/>
          <w:b w:val="false"/>
          <w:i w:val="false"/>
          <w:caps w:val="false"/>
          <w:smallCaps w:val="false"/>
          <w:color w:val="000000"/>
          <w:spacing w:val="4"/>
          <w:sz w:val="20"/>
        </w:rPr>
        <w:t xml:space="preserve">.   A Dividend Equivalent Right is an Award entitling the Grantee to receive credits based on cash distributions that would have been paid on the shares of Common Stock subject to an equity-based Award granted to such Grantee, determined as though such shares had been issued to and held by the Grantee. Notwithstanding the foregoing, no Dividend Equivalent Right may be granted hereunder to any Grantee in connection with a Stock Option or SAR granted to such Grantee. The terms and conditions of Dividend Equivalent Rights shall be specified in the Award Document. Dividend equivalents credited to the holder of a Dividend Equivalent Right may be deemed reinvested in additional shares of Common Stock, which may thereafter accrue additional equivalents, or may be treated as a cumulative right to the cash amount of such dividends. Any reinvestment of deemed dividends in shares of Common Stock shall be at Fair Market Value on the date of the deemed dividend distribution. Dividend Equivalent Rights may be settled in cash or Common Stock or a combination thereof, and shall be paid or distributed in a single payment or distribution on (or as soon as practicable following) the date the underlying Award has vested (taking into account the extent of such vesting) and any such Dividend Equivalent Right shall expire or be forfeited or annulled under the same conditions and to the same extent as the underlying Award to which the Dividend Equivalent Right is related expires or is forfeited. Except as may otherwise be provided by the Committee in the Award Document, a Grantee’s rights in all Dividend Equivalent Rights or interest equivalents shall automatically terminate upon the Grantee’s termination of Service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Grants of Awards to Non-Employee Directors</w:t>
      </w:r>
      <w:r>
        <w:rPr>
          <w:rFonts w:ascii="Times New Roman;Times;serif" w:hAnsi="Times New Roman;Times;serif"/>
          <w:b w:val="false"/>
          <w:i w:val="false"/>
          <w:caps w:val="false"/>
          <w:smallCaps w:val="false"/>
          <w:color w:val="000000"/>
          <w:spacing w:val="4"/>
          <w:sz w:val="20"/>
        </w:rPr>
        <w:t xml:space="preserve">.   Notwithstanding anything herein to the contrary, no Awards shall be granted under the Plan to any non-employee member of the Board of Directors except as provided for in this Section 10. Specifically, non-employee members of the Board of Directors shall only receive Awards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Grants may be in the form of any Option (other than an ISO) or Award permitted under the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fair value of Awards (based on the grant date fair value of such Awards for financial accounting purposes) granted to any non-employee member of the Board of Directors during any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calendar year, along with cash compensation paid to such non-employee member of the Board of Directors in respect of such director’s service as a member of the Board of Directors during such year (including service as a member or chair of any committees of the Board of Directors) during such fiscal year shall not be in excess of Six Hundred Fifty Thousand Dollars ($650,000). Notwithstanding the foregoing, however, the Committee may make exceptions to the foregoing limits in extraordinary or unusual circumstances as the Committee may determine appropriate.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Limitations on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Shares Subject to Plan</w:t>
      </w:r>
      <w:r>
        <w:rPr>
          <w:rFonts w:ascii="Times New Roman;Times;serif" w:hAnsi="Times New Roman;Times;serif"/>
          <w:b w:val="false"/>
          <w:i w:val="false"/>
          <w:caps w:val="false"/>
          <w:smallCaps w:val="false"/>
          <w:color w:val="000000"/>
          <w:spacing w:val="4"/>
          <w:sz w:val="20"/>
        </w:rPr>
        <w:t xml:space="preserve">.   Subject to adjustment as provided in Section 13, the aggregate maximum number of Shares that may be issued pursuant to Awards granted under the Plan after its approval by the Company’s stockholders at the Company’s stockholders meeting scheduled for May 30, 2024 shall be increased by 8,400,000 Shares, which will increase the number of Shares authorized for Awards under the Plan from 13,826,728 Shares to 22,226,728 Shares. The aggregate number of Shares available for Awards under the Plan shall be reduced on a one-for-one basis by the number of Shares issued under the Plan and/or the Prior Plan and increased by that number of Shares subject to Awards granted under the Plan or the Prior Plan which later become available in accordance with the provisions below. All 22,226,728 of such Shares may be granted as ISOs.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Shares shall be issued from authorized and unissued Common Stock or Common Stock held in or hereafter acquired for the treasury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Shares covered by an Award shall be counted against the limit as set forth in this Section 11(a). A Share issued in connection with an Award under the Plan shall reduce the total number of Shares available for issuance under the Plan by one; provided, however, that, upon settlement of a stock-settled SAR, the total number of Shares available for issuance under the Plan shall be reduced by the gross number of Shares with respect to which the SAR is exercised.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If any Shares covered by an Award granted under the Plan or the Prior Plan are not purchased or are forfeited or expire, or if such an Award otherwise terminates without delivery of any Common Stock subject thereto, such as, for example, as a result of a cash settlement of the Award, then the number of Shares subject to such Award shall, to the extent of any such forfeiture, termination, cash-settlement or expiration, again be available for the grant of Awards under the Plan. Notwithstanding the foregoing, upon the exercise of any Award granted under the Plan or the Prior Plan granted in tandem with any other Award, such related Award shall be cancelled to the extent of the number of Shares as to which the corresponding Award is exercised and such number of Shares shall no longer be available for Awards under the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To the extent Shares subject to an Option or stock-settled SAR are withheld by the Company for payment of the purchase price of the Shares or as a means of paying the exercise price, or for payment of federal, state or local income or wage tax withholding requirements, the Shares that are so withheld shall be treated as granted and shall not again be available for subsequent grants of Awards under the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To the extent Shares subject to a full-value Award (i.e., an equity-based Award other than an Option or SAR) are not actually issued to the Grantee at the time the Award is exercised or settled, including where Shares are withheld for payment of federal, state or local income or wage tax withholding requirements, the Shares that are so withheld shall again be available for grants of Awards under the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number of Shares available for issuance under the Plan may not be increased through the Company’s purchase of Shares on the open market with the proceeds obtained from the exercise of any Options or other purchase rights granted under the Plan or the Prior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Repricing</w:t>
      </w:r>
      <w:r>
        <w:rPr>
          <w:rFonts w:ascii="Times New Roman;Times;serif" w:hAnsi="Times New Roman;Times;serif"/>
          <w:b w:val="false"/>
          <w:i w:val="false"/>
          <w:caps w:val="false"/>
          <w:smallCaps w:val="false"/>
          <w:color w:val="000000"/>
          <w:spacing w:val="4"/>
          <w:sz w:val="20"/>
        </w:rPr>
        <w:t xml:space="preserve">.   Other than pursuant to Section 13, the Committee shall not without the approval of the Company’s stockholders (a) lower the exercise price per Share of an Option or SAR after it is granted, (b) cancel an Option or SAR when the exercise price per Share exceeds the Fair Market Value of one Share in exchange for cash or another Award (other than in connection with a Change in Control), or (c) take any other action with respect to an Option or SAR that would be treated as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repricing under the rules and regulations of the principal U.S. national securities exchange on which the Shares are listed. The foregoing limitations on modifications of SARs and Options shall not be applicable to changes the Committee determines to be necessary in order to achieve compliance with applicable law, including Internal Revenue Code Section 409A.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Minimum Vesting Requirements</w:t>
      </w:r>
      <w:r>
        <w:rPr>
          <w:rFonts w:ascii="Times New Roman;Times;serif" w:hAnsi="Times New Roman;Times;serif"/>
          <w:b w:val="false"/>
          <w:i w:val="false"/>
          <w:caps w:val="false"/>
          <w:smallCaps w:val="false"/>
          <w:color w:val="000000"/>
          <w:spacing w:val="4"/>
          <w:sz w:val="20"/>
        </w:rPr>
        <w:t xml:space="preserve">.   Notwithstanding any other provision of the Plan to the contrary and subject to the immediately following proviso, equity-based Awards granted under the Plan after the Company’s stockholders meeting scheduled for May 30, 2024 shall vest no earlier than the first anniversary of the date the Award is granted, and performance-based Awards granted under the Plan after the Company’s stockholders meeting scheduled for May 30, 2024 must have a performance period of at least one year; provided, however, the following Awards shall not be subject to the foregoing minimum vesting requirements: any (i) Awards granted after the Company’s stockholders meeting scheduled for May 30, 2024 in connection with awards that are assumed, converted or substituted pursuant to Section 14 of this Plan; (ii) Shares delivered after the Company’s stockholders meeting scheduled for May 30, 2024 in lieu of fully vested cash obligations; (iii) Awards granted after the Company’s stockholders meeting scheduled for May 30, 2024 to 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the Committee may grant after the Company’s stockholders meeting scheduled for May 30, 2024 without regard to the foregoing minimum vesting requirements up to a maximum of five percent (5%) of the number of Shares that are available for issuance under the Plan as of immediately after the Company’s stockholders meeting scheduled for May 30, 2024 (subject to adjustment under Section 13). For the avoidance of doubt, the foregoing restriction does not apply to the Committee’s discretion to provide in the terms of the Award or otherwise for accelerated exercisability or vesting of any Award upon the occurrence of one or more events other than completion of a service period, including without limitation the Grantee’s retirement, death, Disability, termination of employment or service involuntarily for any reason other than for Cause or voluntarily for Good Reason, a Change in Control, or, in the case of a director, a required resignation from the Board of Directors in connection with a Change in Control.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Dividends on Performance-Based Awards</w:t>
      </w:r>
      <w:r>
        <w:rPr>
          <w:rFonts w:ascii="Times New Roman;Times;serif" w:hAnsi="Times New Roman;Times;serif"/>
          <w:b w:val="false"/>
          <w:i w:val="false"/>
          <w:caps w:val="false"/>
          <w:smallCaps w:val="false"/>
          <w:color w:val="000000"/>
          <w:spacing w:val="4"/>
          <w:sz w:val="20"/>
        </w:rPr>
        <w:t xml:space="preserve">.   The Committee may provide in an Award Document evidencing a grant of a performance-based Award that the holder of such performance-based Award shall be entitled to receive, upon the Company’s payment of a cash dividend on its outstanding Common Stock, a cash payment for each Share covered by such performance-based Award held equal to the per-share dividend paid on the Common Stock; provided, however, that such cash dividend shall not be distributed to the holder of such performance-based Award until the performance-based Award becomes vested. The Award Document may also provide that such cash payment will be deemed reinvested in additional performance-based Awards at a price per unit equal to the Fair Market Value of a share of Common Stock on the date that such dividend is paid, but such additional performance-based Awards shall in all cases be subject to the same restrictions that apply to the original performance-based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Change of Control</w:t>
      </w:r>
      <w:r>
        <w:rPr>
          <w:rFonts w:ascii="Times New Roman;Times;serif" w:hAnsi="Times New Roman;Times;serif"/>
          <w:b w:val="false"/>
          <w:i w:val="false"/>
          <w:caps w:val="false"/>
          <w:smallCaps w:val="false"/>
          <w:color w:val="000000"/>
          <w:spacing w:val="4"/>
          <w:sz w:val="20"/>
        </w:rPr>
        <w:t xml:space="preserve">.   In the event of a Change of Control, except to the extent otherwise provided in an Award Document, the following provisions shall apply: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Awards Assumed or Substituted by Surviving Entity</w:t>
      </w:r>
      <w:r>
        <w:rPr>
          <w:rFonts w:ascii="Times New Roman;Times;serif" w:hAnsi="Times New Roman;Times;serif"/>
          <w:b w:val="false"/>
          <w:i w:val="false"/>
          <w:caps w:val="false"/>
          <w:smallCaps w:val="false"/>
          <w:color w:val="000000"/>
          <w:spacing w:val="4"/>
          <w:sz w:val="20"/>
        </w:rPr>
        <w:t xml:space="preserve">.   Awards assumed by an entity that is the surviving or successor entity following a Change of Control (the “Surviving Entity”) or are otherwise equitably converted or substituted in connection with a Change of Control shall have the same vesting schedule in effect following the Change of Control. Following the Change in Control, if a Termination of Employment or Service in Connection with a Change in Control occurs, then all of the Grantee’s outstanding Awards shall become fully exercisable and/or vested as the case may be as of the date of termination, with payout to such Grantee within 60 days following the date of termination of employment, provided that the payment date of any Awards that are considered to be deferred compensation shall not be accelerated. With respect to any Award with respect to which the grant, vesting, payment and/or settlement is contingent upon the satisfaction of specified performance measures in the specified performance period and which is assumed by the Surviving Entity or otherwise equitably converted or substituted in connection with the Change of Control, unless the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provides otherwise, the Award shall be converted into a time-based Award as of the Change in Control at target, subject to the Grantee’s continued employment or other service, and, following the Change in Control, if a Termination of Employment or Service in Connection with a Change in Control occurs, then all of the Grantee’s outstanding time-based Awards shall become fully exercisable and/or vested as the case may be as of the date of termination, with payout to such Grantee within 60 days following the date of termination of employment, provided that the payment date of any Awards that are considered to be deferred compensation shall not be accelerated.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Awards not Assumed or Substituted by Surviving Entity</w:t>
      </w:r>
      <w:r>
        <w:rPr>
          <w:rFonts w:ascii="Times New Roman;Times;serif" w:hAnsi="Times New Roman;Times;serif"/>
          <w:b w:val="false"/>
          <w:i w:val="false"/>
          <w:caps w:val="false"/>
          <w:smallCaps w:val="false"/>
          <w:color w:val="000000"/>
          <w:spacing w:val="4"/>
          <w:sz w:val="20"/>
        </w:rPr>
        <w:t xml:space="preserve">.   Upon the occurrence of a Change of Control, and except with respect to any Awards assumed by the Surviving Entity or otherwise equitably converted or substituted in connection with the Change of Control in a manner approved by the Committee or the Board of Directors, all outstanding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sixty (60) days following the Change of Control, in an amount equal to the amount that the Grantee would have received (net of the exercise price with respect to any Awards in the nature of Options, SARs or other purchase rights) and on the same terms (including without limitation any earn-out, escrow or other deferred consideration provisions) as if such vested Awards were settled or distributed or such Awards in the nature of vested Options, SARs or other purchase rights were exercised immediately prior to the consummation of the Change in Control. Notwithstanding the foregoing, if an Option, SAR or other purchase right is not assumed or substituted by the Surviving Entity or otherwise equitably converted or substituted in connection with a Change of Control and the exercise price with respect to the outstanding Option, SAR or other purchase right equals or exceeds the amount payable per Share in the Change in Control, such Awards shall be cancelled without any payment to the Grantee. With respect to any Award with respect to which the grant, vesting, payment and/or settlement is contingent upon the satisfaction of specified performance measures in the specified performance period and which is not assumed by the Surviving Entity or otherwise equitably converted or substituted in connection with the Change of Control, unless the Award Agreement provides otherwise, the Award shall become vested, and be paid and settled at target and prorated based on the number of days in the specified performance period prior to and including the date of the Change in Control over the number of days in the specified performance period.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Other Considerations</w:t>
      </w:r>
      <w:r>
        <w:rPr>
          <w:rFonts w:ascii="Times New Roman;Times;serif" w:hAnsi="Times New Roman;Times;serif"/>
          <w:b w:val="false"/>
          <w:i w:val="false"/>
          <w:caps w:val="false"/>
          <w:smallCaps w:val="false"/>
          <w:color w:val="000000"/>
          <w:spacing w:val="4"/>
          <w:sz w:val="20"/>
        </w:rPr>
        <w:t xml:space="preserve">.   Notwithstanding the forgoing provisions of this Section 12, if an Award constitutes deferred compensation within the meaning of Code Section 409A, no payment or settlement of such Award shall be made pursuant to this Section 12, unless the Change in Control constitutes a change in ownership or effective control of the Company or a change in ownership of a substantial portion of the assets of the Company as described in Treasury Regulation Section 1.409A-3(i)(5) and such payment or settlement does not result in a violation of Section 409A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Adjustments on Changes in Capitalization</w:t>
      </w:r>
      <w:r>
        <w:rPr>
          <w:rFonts w:ascii="Times New Roman;Times;serif" w:hAnsi="Times New Roman;Times;serif"/>
          <w:b w:val="false"/>
          <w:i w:val="false"/>
          <w:caps w:val="false"/>
          <w:smallCaps w:val="false"/>
          <w:color w:val="000000"/>
          <w:spacing w:val="4"/>
          <w:sz w:val="20"/>
        </w:rPr>
        <w:t xml:space="preserve">.   The aggregate number of Shares and class of Shares as to which Awards may be granted hereunder, the limitation as to grants to individuals set forth in Section 10(b) hereof, the number of Shares covered by each outstanding Award, and the Option Price for each related outstanding Option and SAR, shall be appropriately adjusted in the event of a stock dividend, extraordinary cash dividend, stock split, recapitalization or other change in the number or class of issued and outstanding equity securities of the Company resulting from a subdivision or consolidation of the Common Stock and/or, if appropriate, other outstanding equity securities or a recapitalization or other capital adjustment (not including the issuance of Common Stock on the conversion of other securities of the Company that are convertible into Common Stock) affecting the Common Stock which is effected without receipt of consideration by the Company. The Committee shall have authority to determine the adjustments to be made under this Section, and any such determination by the Committee shall be final, binding and conclusive;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adjustment shall be made that will cause an ISO to lose its status as such without the consent of the Grantee, except for adjustments made pursuant to Section 12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Substitute Awards</w:t>
      </w:r>
      <w:r>
        <w:rPr>
          <w:rFonts w:ascii="Times New Roman;Times;serif" w:hAnsi="Times New Roman;Times;serif"/>
          <w:b w:val="false"/>
          <w:i w:val="false"/>
          <w:caps w:val="false"/>
          <w:smallCaps w:val="false"/>
          <w:color w:val="000000"/>
          <w:spacing w:val="4"/>
          <w:sz w:val="20"/>
        </w:rPr>
        <w:t xml:space="preserve">.   Notwithstanding anything in the Plan to the contrary, the Committee may grant Awards under the Plan in substitution for stock and stock-based awards held by employees of another entity who become employees of the Company or an Affiliate as a result of a merger or consolidation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former employing entity with the Company or an Affiliate or the acquisition by the Company or an Affiliate of property or stock of the former employing corporation. The Committee may direct that the substitute awards be made on such terms and conditions as the Committee considers appropriate in the circumstances notwithstanding any other terms of this Plan. In the case of any such substitute awards, Shares delivered or deliverable in connection with such substitute awards shall not be counted against the number of Shares reserved under the Plan (to the extent permitted by the rules of Nasdaq and any other stock exchange or automated quotation system upon which the Shares are listed or quoted), and available shares of stock under a stockholder-approved plan of any such employing corporation (as appropriately adjusted to reflect the transaction) also may be used for Awards under the Plan, which also shall not reduce the number of Shares otherwise available under the Plan (subject to applicable requirements of Nasdaq and any other stock exchange or automated quotation system upon which the Shares are listed or quoted).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Amendment of the Plan</w:t>
      </w:r>
      <w:r>
        <w:rPr>
          <w:rFonts w:ascii="Times New Roman;Times;serif" w:hAnsi="Times New Roman;Times;serif"/>
          <w:b w:val="false"/>
          <w:i w:val="false"/>
          <w:caps w:val="false"/>
          <w:smallCaps w:val="false"/>
          <w:color w:val="000000"/>
          <w:spacing w:val="4"/>
          <w:sz w:val="20"/>
        </w:rPr>
        <w:t xml:space="preserve">.   The Board of Directors may amend the Plan from time to time in such manner as it may deem advisable; provided that, without obtaining stockholder approval, the Board of Directors may not: (i) increase the maximum number of Shares as to which Awards may be granted, except for adjustments pursuant to Section 13, (ii) materially expand the eligible participants or (iii) otherwise adopt any amendment constituting a change requiring stockholder approval under applicable laws or applicable listing requirements of the Nasdaq Stock Market or any other exchange on which the Company’s securities are listed. No amendment to the Plan shall adversely materially affect any outstanding Award, however, without the consent of the Grantee.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No Commitment to Retain</w:t>
      </w:r>
      <w:r>
        <w:rPr>
          <w:rFonts w:ascii="Times New Roman;Times;serif" w:hAnsi="Times New Roman;Times;serif"/>
          <w:b w:val="false"/>
          <w:i w:val="false"/>
          <w:caps w:val="false"/>
          <w:smallCaps w:val="false"/>
          <w:color w:val="000000"/>
          <w:spacing w:val="4"/>
          <w:sz w:val="20"/>
        </w:rPr>
        <w:t xml:space="preserve">.   The grant of an Award shall not be construed to imply or to constitute evidence of any agreement, express or implied, on the part of the Company or any Affiliate to retain the Grantee in the employ of the Company or an Affiliate and/or as a member of the Company’s Board of Directors or in any other capacity.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Withholding of Taxes</w:t>
      </w:r>
      <w:r>
        <w:rPr>
          <w:rFonts w:ascii="Times New Roman;Times;serif" w:hAnsi="Times New Roman;Times;serif"/>
          <w:b w:val="false"/>
          <w:i w:val="false"/>
          <w:caps w:val="false"/>
          <w:smallCaps w:val="false"/>
          <w:color w:val="000000"/>
          <w:spacing w:val="4"/>
          <w:sz w:val="20"/>
        </w:rPr>
        <w:t xml:space="preserve">.   Whenever the Company proposes or is required to deliver or transfer Shares in connection with an Award or the exercise of an Option, the Company shall have the right to (a) require the recipient to remit or otherwise make available to the Company an amount sufficient to satisfy any federal, state and/or local withholding tax requirements prior to the delivery or transfer of any certificate or certificates for such Shares or (b) take whatever other action it deems necessary to protect its interests with respect to tax liabilities. The Company’s obligation to make any delivery or transfer of Shares shall be conditioned on the Grantee’s compliance, to the Company’s satisfaction, with any withholding requirement. The Grantee may elect to make payment for the withholding of federal, state and local taxes by one or a combination of the following methods: (i) payment of an amount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(ii) delivering part or all of the amount to be withheld in the form of Shares valued at Fair Market Value; (iii) requesting the Company to withhold from those Shares that would otherwise be received upon exercise of the Option or SAR, upon the lapse of restrictions on Restricted Stock or Restricted Stock Unit, or upon the transfer of Shares, a number of Shares having a Fair Market Value; or (iv) withholding from any cash compensation otherwise due to the Grantee. The maximum amount of tax withholding upon exercise of an Option or SAR, upon the lapse of restrictions on Restricted Stock, or upon the transfer of Shares, to be satisfied by withholding Shares upon exercise of such Option or SAR, upon the lapse of restrictions on Restricted Stock, or upon the transfer of Shares, shall not exceed the minimum amount of taxes required to be withheld under federal, state and/or local law that will not result in adverse financial accounting consequences with respect to such Awards and is permitted under applicable withholding rules promulgated by the Internal Revenue Service or another applicable governmental entity. Notwithstanding the foregoing, any Grantee who makes a disqualifying disposition of Shares acquired under an ISO or an election under Section 83(b) of the Code with respect to Restricted Stock shall remit to the Company an amount, if any, sufficient to satisfy all resulting tax withholding requirements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or by withholding from any cash compensation otherwise due to the Grantee.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Source of Shares; Fractional Shares</w:t>
      </w:r>
      <w:r>
        <w:rPr>
          <w:rFonts w:ascii="Times New Roman;Times;serif" w:hAnsi="Times New Roman;Times;serif"/>
          <w:b w:val="false"/>
          <w:i w:val="false"/>
          <w:caps w:val="false"/>
          <w:smallCaps w:val="false"/>
          <w:color w:val="000000"/>
          <w:spacing w:val="4"/>
          <w:sz w:val="20"/>
        </w:rPr>
        <w:t xml:space="preserve">.   The Common Stock that may be issued (which term includes Common Stock reissued or otherwise delivered) pursuant to an Award under the Plan shall be authorized but unissued Stock. No fractional shares of Stock shall be issued under the Plan, and shares issued shall be rounded down to the nearest whole share, but fractional interests may be accumulated pursuant to the terms of an Award. Notwithstanding anything in the Plan to the contrary, the Company may satisfy its obligation to issue Shares hereunder by book-entry registration.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Deferred Arrangements</w:t>
      </w:r>
      <w:r>
        <w:rPr>
          <w:rFonts w:ascii="Times New Roman;Times;serif" w:hAnsi="Times New Roman;Times;serif"/>
          <w:b w:val="false"/>
          <w:i w:val="false"/>
          <w:caps w:val="false"/>
          <w:smallCaps w:val="false"/>
          <w:color w:val="000000"/>
          <w:spacing w:val="4"/>
          <w:sz w:val="20"/>
        </w:rPr>
        <w:t xml:space="preserve">.   The Committee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Common Stock equivalents. Any such deferrals shall be made in a manner that complies with Code Section 409A.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20.   </w:t>
      </w:r>
      <w:r>
        <w:rPr>
          <w:rFonts w:ascii="Times New Roman;Times;serif" w:hAnsi="Times New Roman;Times;serif"/>
          <w:b w:val="false"/>
          <w:i w:val="false"/>
          <w:caps w:val="false"/>
          <w:smallCaps w:val="false"/>
          <w:color w:val="000000"/>
          <w:spacing w:val="4"/>
          <w:sz w:val="20"/>
          <w:u w:val="single"/>
        </w:rPr>
        <w:t>Parachute Limitations</w:t>
      </w:r>
      <w:r>
        <w:rPr>
          <w:rFonts w:ascii="Times New Roman;Times;serif" w:hAnsi="Times New Roman;Times;serif"/>
          <w:b w:val="false"/>
          <w:i w:val="false"/>
          <w:caps w:val="false"/>
          <w:smallCaps w:val="false"/>
          <w:color w:val="000000"/>
          <w:spacing w:val="4"/>
          <w:sz w:val="20"/>
        </w:rPr>
        <w:t xml:space="preserve">.   Notwithstanding any other provision of this Plan or of any other agreement, contract, or understanding heretofore or hereafter entered into by a Grantee with the Company or any Affiliate, except an agreement, contract, or understanding that expressly addresses Section 280G or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Stock, Restricted Stock Unit, Stock Appreciation Right or Dividend Equivalent Right held by that Grantee and any right to receive any payment or other benefit under this Plan shall not become exercisable or vested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subject to excise tax under Code Section 4999; provided, however, that the foregoing limitation on Options or Awards under the Plan shall only be applicable to the extent that the imposition of such limitation is, on a net after tax basis, beneficial to the Grantee. The Committee shall have the authority to determine what restrictions and/or reductions in payments shall be made under this Section 20 in order to avoid the detrimental tax consequences of Code Section 4999, and may use such authority to cause a reduction to payments or benefits that would be made by reason of contracts, agreements or arrangements that are outside the scope of the Plan, to the extent such a reduction would result in a greater, net after-tax benefit to the Grantee.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Section 409A</w:t>
      </w:r>
      <w:r>
        <w:rPr>
          <w:rFonts w:ascii="Times New Roman;Times;serif" w:hAnsi="Times New Roman;Times;serif"/>
          <w:b w:val="false"/>
          <w:i w:val="false"/>
          <w:caps w:val="false"/>
          <w:smallCaps w:val="false"/>
          <w:color w:val="000000"/>
          <w:spacing w:val="4"/>
          <w:sz w:val="20"/>
        </w:rPr>
        <w:t xml:space="preserve">.   The Committee intends to comply with Section 409A of the Code (“Section 409A”) with regard to any Awards hereunder that constitute nonqualified deferred compensation within the meaning of Section 409A, and otherwise to provide Awards that are exempt from Section 409A. Except as otherwise permitted or required by Code Section 409A, no distribution in settlement of an Award that constitutes nonqualified deferred compensation within the meaning of Section 409A may commence earlier than (i) Grantee’s separation from service; (ii) the date the Grantee incurs a Disability; (iii) the date of the Grantee’s death; (iv) a specified time (or pursuant to a fixed schedule) that is either (a) specified by the Committee upon the grant of the Award and set forth in the Award Agreement or (b) specified by the Grantee in an election complying with the requirements of Section 409A of the Code; or (vi) a change in control of the Company within the meaning of Treasury Regulation Section 1.409A-3(h)(5). Notwithstanding anything herein or in any Award Agreement or election to the contrary, to the extent that distribution of an Award that constitutes nonqualified deferred compensation within the meaning of Section 409A is triggered by the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 to the extent required to comply with Code Section 409A. If an Award Agreement does not specify a payment date, payment of the Award will be made no later than the 15th day of the third month following the end of the taxable year of the Grantee during which the Grantee’s right to payment is no longer subject to a substantial risk of forfeiture under Section 409A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Unfunded Status of Plan</w:t>
      </w:r>
      <w:r>
        <w:rPr>
          <w:rFonts w:ascii="Times New Roman;Times;serif" w:hAnsi="Times New Roman;Times;serif"/>
          <w:b w:val="false"/>
          <w:i w:val="false"/>
          <w:caps w:val="false"/>
          <w:smallCaps w:val="false"/>
          <w:color w:val="000000"/>
          <w:spacing w:val="4"/>
          <w:sz w:val="20"/>
        </w:rPr>
        <w:t xml:space="preserve">.   The Plan shall be unfunded. Neither the Company, nor the Board of Directors nor the Committee shall be required to segregate any assets that may at any time be represented by Awards made pursuant to the Plan. Neither the Company, nor the Board of Directors, nor the Committee shall be deemed to be a trustee of any amounts to be paid or securities to be issued under the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Compensation Recovery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the Company is required to provide an accounting restatement for any of the prior three fiscal years of the Company for which audited financial statements have been completed as a result of material noncompliance with financial reporting requirements under federal securities laws (a “Restatement”), the amount of any Excess Compensation (as defined below) realized by an any Executive Officer (as defined below) may be subject to recovery by the Company.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Section 23: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 “Executive Officer” shall mean any officer of the Company who holds an office of executive vice president or above;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“Excess Compensation” shall mean the excess of (i) the actual amount of cash-based or equity-based incentive compensation received by an Executive Officer over (ii) the compensation that would have been received based on the restated financial results during the three-year period preceding the date on which the Company is required to prepare such restatement.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Recovery of Excess Compensation under this Section 23 shall not preclude the Company from seeking relief under any other agreement, policy or law or any other recoupment policy currently in effect or subsequently adopted by the Board of Directors of the Company. The Company’s recoupment rights under this Section 23 shall be in addition to, and not in lieu of, actions that the Company may take to remedy or discipline any act of misconduct by an Executive Officer including, but not limited to, termination of employment or initiation of appropriate legal action.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recovery of compensation under this Section 23 is separate from and in addition to (i) the compensation recovery requirements of Section 304 of the Sarbanes-Oxley Act of 2002 that are applicable to the Company’s Chief Executive Officer and Chief Financial Officer and (ii) the compensation recoupment rights set forth under the Repay Holdings Corporation Clawback Policy that are applicable to covered executives within the meaning of such policy, provided that in each case there shall be no duplication of recovery of the same compensation, unless required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Notwithstanding anything contained herein to the contrary, Awards (other than ISOs and corresponding Awards), may be transferred, without consideration, to a Permitted Transferee. For this purpose, a “Permitted Transferee” in respect of a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any person sharing the Grantee’s household (other than a tenant or employee), children, stepchildren, grandchildren, parents, stepparents, siblings, grandparents, nieces and nephews. Such Award may be exercised by such Permitted Transferee in accordance with the terms of the Award Document.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Document, except to the extent the Plan and Award Document otherwise provide with respect to such persons, and to any additional restrictions or limitations deemed necessary or appropriate by the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The validity, performance, construction and effect of this Plan shall, except to the extent preempted by federal law, be governed by the laws of the state of Delaware, without giving effect to principles of conflicts of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AB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NON-GAAP RECONCILIATION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Reconciliation of Gross Profit Growth to Organic Gross Profit Growth and Normalized </w:t>
        <w:br/>
        <w:t xml:space="preserve">Organic Gross Profit Growth </w:t>
        <w:br/>
        <w:t xml:space="preserve">For the Year-over-Year Change Between the Years Ended December 31, 2023 and 2022 </w:t>
        <w:br/>
        <w:t>(Unaudited)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4672"/>
        <w:gridCol w:w="109"/>
        <w:gridCol w:w="109"/>
        <w:gridCol w:w="169"/>
        <w:gridCol w:w="169"/>
        <w:gridCol w:w="591"/>
        <w:gridCol w:w="171"/>
        <w:gridCol w:w="109"/>
        <w:gridCol w:w="109"/>
        <w:gridCol w:w="111"/>
        <w:gridCol w:w="111"/>
        <w:gridCol w:w="707"/>
        <w:gridCol w:w="111"/>
        <w:gridCol w:w="109"/>
        <w:gridCol w:w="109"/>
        <w:gridCol w:w="159"/>
        <w:gridCol w:w="159"/>
        <w:gridCol w:w="577"/>
        <w:gridCol w:w="163"/>
        <w:gridCol w:w="164"/>
      </w:tblGrid>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4672"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3634" w:type="dxa"/>
            <w:gridSpan w:val="16"/>
            <w:tcBorders>
              <w:bottom w:val="single" w:sz="2" w:space="0" w:color="000000"/>
            </w:tcBorders>
            <w:shd w:fill="FFFFFF" w:val="clear"/>
            <w:tcMar>
              <w:bottom w:w="50" w:type="dxa"/>
            </w:tcMar>
            <w:vAlign w:val="center"/>
          </w:tcPr>
          <w:p>
            <w:pPr>
              <w:pStyle w:val="TableContents"/>
              <w:bidi w:val="0"/>
              <w:spacing w:before="0" w:after="0"/>
              <w:jc w:val="center"/>
              <w:rPr>
                <w:spacing w:val="-3"/>
              </w:rPr>
            </w:pPr>
            <w:r>
              <w:rPr>
                <w:spacing w:val="-3"/>
              </w:rPr>
              <w:t xml:space="preserve">FY 2023 YoY Change </w:t>
            </w:r>
          </w:p>
        </w:tc>
        <w:tc>
          <w:tcPr>
            <w:tcW w:w="16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bottom w:val="single" w:sz="2" w:space="0" w:color="FFFFFF"/>
            </w:tcBorders>
            <w:shd w:fill="FFFFFF" w:val="clear"/>
            <w:vAlign w:val="center"/>
          </w:tcPr>
          <w:p>
            <w:pPr>
              <w:pStyle w:val="TableContents"/>
              <w:bidi w:val="0"/>
              <w:spacing w:before="0" w:after="283"/>
              <w:jc w:val="left"/>
              <w:rPr/>
            </w:pPr>
            <w:r>
              <w:rPr/>
              <w:t>​</w:t>
            </w:r>
          </w:p>
        </w:tc>
        <w:tc>
          <w:tcPr>
            <w:tcW w:w="4672"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10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Consumer </w:t>
              <w:br/>
              <w:t xml:space="preserve">Payments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40"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Business </w:t>
              <w:br/>
              <w:t xml:space="preserve">Payments </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58" w:type="dxa"/>
            <w:gridSpan w:val="4"/>
            <w:tcBorders>
              <w:bottom w:val="single" w:sz="2" w:space="0" w:color="000000"/>
            </w:tcBorders>
            <w:shd w:fill="FFFFFF" w:val="clear"/>
            <w:tcMar>
              <w:bottom w:w="43" w:type="dxa"/>
            </w:tcMar>
            <w:vAlign w:val="center"/>
          </w:tcPr>
          <w:p>
            <w:pPr>
              <w:pStyle w:val="TableContents"/>
              <w:bidi w:val="0"/>
              <w:spacing w:before="0" w:after="0"/>
              <w:jc w:val="center"/>
              <w:rPr>
                <w:spacing w:val="-3"/>
              </w:rPr>
            </w:pPr>
            <w:r>
              <w:rPr>
                <w:spacing w:val="-3"/>
              </w:rPr>
              <w:t xml:space="preserve">Total </w:t>
              <w:br/>
              <w:t xml:space="preserve">Company </w:t>
            </w:r>
          </w:p>
        </w:tc>
        <w:tc>
          <w:tcPr>
            <w:tcW w:w="164"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672" w:type="dxa"/>
            <w:tcBorders/>
            <w:shd w:fill="CCCCCC" w:val="clear"/>
            <w:tcMar>
              <w:bottom w:w="0" w:type="dxa"/>
            </w:tcMar>
            <w:vAlign w:val="center"/>
          </w:tcPr>
          <w:p>
            <w:pPr>
              <w:pStyle w:val="TableContents"/>
              <w:bidi w:val="0"/>
              <w:spacing w:before="0" w:after="283"/>
              <w:jc w:val="left"/>
              <w:rPr>
                <w:spacing w:val="4"/>
              </w:rPr>
            </w:pPr>
            <w:r>
              <w:rPr>
                <w:spacing w:val="4"/>
              </w:rPr>
              <w:t xml:space="preserve">Gross profit growth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right"/>
              <w:rPr/>
            </w:pPr>
            <w:r>
              <w:rPr/>
              <w:t>​</w:t>
            </w:r>
          </w:p>
        </w:tc>
        <w:tc>
          <w:tcPr>
            <w:tcW w:w="591" w:type="dxa"/>
            <w:tcBorders/>
            <w:shd w:fill="CCCCCC" w:val="clear"/>
            <w:tcMar>
              <w:bottom w:w="0" w:type="dxa"/>
            </w:tcMar>
            <w:vAlign w:val="center"/>
          </w:tcPr>
          <w:p>
            <w:pPr>
              <w:pStyle w:val="TableContents"/>
              <w:bidi w:val="0"/>
              <w:spacing w:before="0" w:after="283"/>
              <w:jc w:val="right"/>
              <w:rPr/>
            </w:pPr>
            <w:r>
              <w:rPr/>
              <w:t>11%</w:t>
            </w:r>
          </w:p>
        </w:tc>
        <w:tc>
          <w:tcPr>
            <w:tcW w:w="17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right"/>
              <w:rPr/>
            </w:pPr>
            <w:r>
              <w:rPr/>
              <w:t>​</w:t>
            </w:r>
          </w:p>
        </w:tc>
        <w:tc>
          <w:tcPr>
            <w:tcW w:w="707" w:type="dxa"/>
            <w:tcBorders/>
            <w:shd w:fill="CCCCCC" w:val="clear"/>
            <w:tcMar>
              <w:bottom w:w="0" w:type="dxa"/>
            </w:tcMar>
            <w:vAlign w:val="center"/>
          </w:tcPr>
          <w:p>
            <w:pPr>
              <w:pStyle w:val="TableContents"/>
              <w:bidi w:val="0"/>
              <w:spacing w:before="0" w:after="283"/>
              <w:jc w:val="right"/>
              <w:rPr/>
            </w:pPr>
            <w:r>
              <w:rPr/>
              <w:t>(8)%</w:t>
            </w:r>
          </w:p>
        </w:tc>
        <w:tc>
          <w:tcPr>
            <w:tcW w:w="11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right"/>
              <w:rPr/>
            </w:pPr>
            <w:r>
              <w:rPr/>
              <w:t>​</w:t>
            </w:r>
          </w:p>
        </w:tc>
        <w:tc>
          <w:tcPr>
            <w:tcW w:w="577" w:type="dxa"/>
            <w:tcBorders/>
            <w:shd w:fill="CCCCCC" w:val="clear"/>
            <w:tcMar>
              <w:bottom w:w="0" w:type="dxa"/>
            </w:tcMar>
            <w:vAlign w:val="center"/>
          </w:tcPr>
          <w:p>
            <w:pPr>
              <w:pStyle w:val="TableContents"/>
              <w:bidi w:val="0"/>
              <w:spacing w:before="0" w:after="283"/>
              <w:jc w:val="right"/>
              <w:rPr/>
            </w:pPr>
            <w:r>
              <w:rPr/>
              <w:t>6%</w:t>
            </w:r>
          </w:p>
        </w:tc>
        <w:tc>
          <w:tcPr>
            <w:tcW w:w="163" w:type="dxa"/>
            <w:tcBorders/>
            <w:shd w:fill="CCCCCC" w:val="clear"/>
            <w:tcMar>
              <w:bottom w:w="0" w:type="dxa"/>
            </w:tcMar>
            <w:vAlign w:val="center"/>
          </w:tcPr>
          <w:p>
            <w:pPr>
              <w:pStyle w:val="TableContents"/>
              <w:bidi w:val="0"/>
              <w:spacing w:before="0" w:after="283"/>
              <w:jc w:val="left"/>
              <w:rPr/>
            </w:pPr>
            <w:r>
              <w:rPr/>
              <w:t>​</w:t>
            </w:r>
          </w:p>
        </w:tc>
        <w:tc>
          <w:tcPr>
            <w:tcW w:w="16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672"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Less: Growth from acquisitions and dispositions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9" w:type="dxa"/>
            <w:tcBorders>
              <w:bottom w:val="single" w:sz="2" w:space="0" w:color="000000"/>
            </w:tcBorders>
            <w:vAlign w:val="center"/>
          </w:tcPr>
          <w:p>
            <w:pPr>
              <w:pStyle w:val="TableContents"/>
              <w:bidi w:val="0"/>
              <w:spacing w:before="0" w:after="283"/>
              <w:jc w:val="left"/>
              <w:rPr/>
            </w:pPr>
            <w:r>
              <w:rPr/>
              <w:t>​</w:t>
            </w:r>
          </w:p>
        </w:tc>
        <w:tc>
          <w:tcPr>
            <w:tcW w:w="169" w:type="dxa"/>
            <w:tcBorders>
              <w:bottom w:val="single" w:sz="2" w:space="0" w:color="000000"/>
            </w:tcBorders>
            <w:tcMar>
              <w:bottom w:w="50" w:type="dxa"/>
            </w:tcMar>
            <w:vAlign w:val="center"/>
          </w:tcPr>
          <w:p>
            <w:pPr>
              <w:pStyle w:val="TableContents"/>
              <w:bidi w:val="0"/>
              <w:spacing w:before="0" w:after="283"/>
              <w:jc w:val="right"/>
              <w:rPr/>
            </w:pPr>
            <w:r>
              <w:rPr/>
              <w:t>​</w:t>
            </w:r>
          </w:p>
        </w:tc>
        <w:tc>
          <w:tcPr>
            <w:tcW w:w="591" w:type="dxa"/>
            <w:tcBorders>
              <w:bottom w:val="single" w:sz="2" w:space="0" w:color="000000"/>
            </w:tcBorders>
            <w:tcMar>
              <w:bottom w:w="50" w:type="dxa"/>
            </w:tcMar>
            <w:vAlign w:val="center"/>
          </w:tcPr>
          <w:p>
            <w:pPr>
              <w:pStyle w:val="TableContents"/>
              <w:bidi w:val="0"/>
              <w:spacing w:before="0" w:after="283"/>
              <w:jc w:val="right"/>
              <w:rPr/>
            </w:pPr>
            <w:r>
              <w:rPr/>
              <w:t>(5)%</w:t>
            </w:r>
          </w:p>
        </w:tc>
        <w:tc>
          <w:tcPr>
            <w:tcW w:w="17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n/a</w:t>
            </w:r>
          </w:p>
        </w:tc>
        <w:tc>
          <w:tcPr>
            <w:tcW w:w="11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tcMar>
              <w:bottom w:w="50" w:type="dxa"/>
            </w:tcMar>
            <w:vAlign w:val="center"/>
          </w:tcPr>
          <w:p>
            <w:pPr>
              <w:pStyle w:val="TableContents"/>
              <w:bidi w:val="0"/>
              <w:spacing w:before="0" w:after="283"/>
              <w:jc w:val="right"/>
              <w:rPr/>
            </w:pPr>
            <w:r>
              <w:rPr/>
              <w:t>(4)%</w:t>
            </w:r>
          </w:p>
        </w:tc>
        <w:tc>
          <w:tcPr>
            <w:tcW w:w="163" w:type="dxa"/>
            <w:tcBorders>
              <w:bottom w:val="single" w:sz="2" w:space="0" w:color="000000"/>
            </w:tcBorders>
            <w:vAlign w:val="center"/>
          </w:tcPr>
          <w:p>
            <w:pPr>
              <w:pStyle w:val="TableContents"/>
              <w:bidi w:val="0"/>
              <w:spacing w:before="0" w:after="283"/>
              <w:jc w:val="left"/>
              <w:rPr/>
            </w:pPr>
            <w:r>
              <w:rPr/>
              <w:t>​</w:t>
            </w:r>
          </w:p>
        </w:tc>
        <w:tc>
          <w:tcPr>
            <w:tcW w:w="16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672" w:type="dxa"/>
            <w:tcBorders/>
            <w:shd w:fill="CCCCCC" w:val="clear"/>
            <w:tcMar>
              <w:bottom w:w="0" w:type="dxa"/>
            </w:tcMar>
            <w:vAlign w:val="center"/>
          </w:tcPr>
          <w:p>
            <w:pPr>
              <w:pStyle w:val="TableContents"/>
              <w:bidi w:val="0"/>
              <w:spacing w:before="0" w:after="283"/>
              <w:jc w:val="left"/>
              <w:rPr/>
            </w:pPr>
            <w:r>
              <w:rPr>
                <w:spacing w:val="4"/>
              </w:rPr>
              <w:t>Organic gross profit growth</w:t>
            </w:r>
            <w:r>
              <w:rPr>
                <w:spacing w:val="3"/>
                <w:sz w:val="13"/>
              </w:rPr>
              <w:t>(a)</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right"/>
              <w:rPr/>
            </w:pPr>
            <w:r>
              <w:rPr/>
              <w:t>​</w:t>
            </w:r>
          </w:p>
        </w:tc>
        <w:tc>
          <w:tcPr>
            <w:tcW w:w="591" w:type="dxa"/>
            <w:tcBorders/>
            <w:shd w:fill="CCCCCC" w:val="clear"/>
            <w:tcMar>
              <w:bottom w:w="0" w:type="dxa"/>
            </w:tcMar>
            <w:vAlign w:val="center"/>
          </w:tcPr>
          <w:p>
            <w:pPr>
              <w:pStyle w:val="TableContents"/>
              <w:bidi w:val="0"/>
              <w:spacing w:before="0" w:after="283"/>
              <w:jc w:val="right"/>
              <w:rPr/>
            </w:pPr>
            <w:r>
              <w:rPr/>
              <w:t>16%</w:t>
            </w:r>
          </w:p>
        </w:tc>
        <w:tc>
          <w:tcPr>
            <w:tcW w:w="17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right"/>
              <w:rPr/>
            </w:pPr>
            <w:r>
              <w:rPr/>
              <w:t>​</w:t>
            </w:r>
          </w:p>
        </w:tc>
        <w:tc>
          <w:tcPr>
            <w:tcW w:w="707" w:type="dxa"/>
            <w:tcBorders/>
            <w:shd w:fill="CCCCCC" w:val="clear"/>
            <w:tcMar>
              <w:bottom w:w="0" w:type="dxa"/>
            </w:tcMar>
            <w:vAlign w:val="center"/>
          </w:tcPr>
          <w:p>
            <w:pPr>
              <w:pStyle w:val="TableContents"/>
              <w:bidi w:val="0"/>
              <w:spacing w:before="0" w:after="283"/>
              <w:jc w:val="right"/>
              <w:rPr/>
            </w:pPr>
            <w:r>
              <w:rPr/>
              <w:t>(8)%</w:t>
            </w:r>
          </w:p>
        </w:tc>
        <w:tc>
          <w:tcPr>
            <w:tcW w:w="11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right"/>
              <w:rPr/>
            </w:pPr>
            <w:r>
              <w:rPr/>
              <w:t>​</w:t>
            </w:r>
          </w:p>
        </w:tc>
        <w:tc>
          <w:tcPr>
            <w:tcW w:w="577" w:type="dxa"/>
            <w:tcBorders/>
            <w:shd w:fill="CCCCCC" w:val="clear"/>
            <w:tcMar>
              <w:bottom w:w="0" w:type="dxa"/>
            </w:tcMar>
            <w:vAlign w:val="center"/>
          </w:tcPr>
          <w:p>
            <w:pPr>
              <w:pStyle w:val="TableContents"/>
              <w:bidi w:val="0"/>
              <w:spacing w:before="0" w:after="283"/>
              <w:jc w:val="right"/>
              <w:rPr/>
            </w:pPr>
            <w:r>
              <w:rPr/>
              <w:t>10%</w:t>
            </w:r>
          </w:p>
        </w:tc>
        <w:tc>
          <w:tcPr>
            <w:tcW w:w="163" w:type="dxa"/>
            <w:tcBorders/>
            <w:shd w:fill="CCCCCC" w:val="clear"/>
            <w:tcMar>
              <w:bottom w:w="0" w:type="dxa"/>
            </w:tcMar>
            <w:vAlign w:val="center"/>
          </w:tcPr>
          <w:p>
            <w:pPr>
              <w:pStyle w:val="TableContents"/>
              <w:bidi w:val="0"/>
              <w:spacing w:before="0" w:after="283"/>
              <w:jc w:val="left"/>
              <w:rPr/>
            </w:pPr>
            <w:r>
              <w:rPr/>
              <w:t>​</w:t>
            </w:r>
          </w:p>
        </w:tc>
        <w:tc>
          <w:tcPr>
            <w:tcW w:w="164" w:type="dxa"/>
            <w:tcBorders/>
            <w:shd w:fill="CCCCCC"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672"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Less: Growth from contributions related to political media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9" w:type="dxa"/>
            <w:tcBorders>
              <w:bottom w:val="single" w:sz="2" w:space="0" w:color="000000"/>
            </w:tcBorders>
            <w:vAlign w:val="center"/>
          </w:tcPr>
          <w:p>
            <w:pPr>
              <w:pStyle w:val="TableContents"/>
              <w:bidi w:val="0"/>
              <w:spacing w:before="0" w:after="283"/>
              <w:jc w:val="left"/>
              <w:rPr/>
            </w:pPr>
            <w:r>
              <w:rPr/>
              <w:t>​</w:t>
            </w:r>
          </w:p>
        </w:tc>
        <w:tc>
          <w:tcPr>
            <w:tcW w:w="169" w:type="dxa"/>
            <w:tcBorders>
              <w:bottom w:val="single" w:sz="2" w:space="0" w:color="000000"/>
            </w:tcBorders>
            <w:tcMar>
              <w:bottom w:w="50" w:type="dxa"/>
            </w:tcMar>
            <w:vAlign w:val="center"/>
          </w:tcPr>
          <w:p>
            <w:pPr>
              <w:pStyle w:val="TableContents"/>
              <w:bidi w:val="0"/>
              <w:spacing w:before="0" w:after="283"/>
              <w:jc w:val="right"/>
              <w:rPr/>
            </w:pPr>
            <w:r>
              <w:rPr/>
              <w:t>​</w:t>
            </w:r>
          </w:p>
        </w:tc>
        <w:tc>
          <w:tcPr>
            <w:tcW w:w="591" w:type="dxa"/>
            <w:tcBorders>
              <w:bottom w:val="single" w:sz="2" w:space="0" w:color="000000"/>
            </w:tcBorders>
            <w:tcMar>
              <w:bottom w:w="50" w:type="dxa"/>
            </w:tcMar>
            <w:vAlign w:val="center"/>
          </w:tcPr>
          <w:p>
            <w:pPr>
              <w:pStyle w:val="TableContents"/>
              <w:bidi w:val="0"/>
              <w:spacing w:before="0" w:after="283"/>
              <w:jc w:val="right"/>
              <w:rPr/>
            </w:pPr>
            <w:r>
              <w:rPr/>
              <w:t>n/a</w:t>
            </w:r>
          </w:p>
        </w:tc>
        <w:tc>
          <w:tcPr>
            <w:tcW w:w="17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(18)%</w:t>
            </w:r>
          </w:p>
        </w:tc>
        <w:tc>
          <w:tcPr>
            <w:tcW w:w="11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vAlign w:val="center"/>
          </w:tcPr>
          <w:p>
            <w:pPr>
              <w:pStyle w:val="TableContents"/>
              <w:bidi w:val="0"/>
              <w:spacing w:before="0" w:after="283"/>
              <w:jc w:val="left"/>
              <w:rPr/>
            </w:pPr>
            <w:r>
              <w:rPr/>
              <w:t>​</w:t>
            </w:r>
          </w:p>
        </w:tc>
        <w:tc>
          <w:tcPr>
            <w:tcW w:w="159" w:type="dxa"/>
            <w:tcBorders>
              <w:bottom w:val="single" w:sz="2" w:space="0" w:color="000000"/>
            </w:tcBorders>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tcMar>
              <w:bottom w:w="50" w:type="dxa"/>
            </w:tcMar>
            <w:vAlign w:val="center"/>
          </w:tcPr>
          <w:p>
            <w:pPr>
              <w:pStyle w:val="TableContents"/>
              <w:bidi w:val="0"/>
              <w:spacing w:before="0" w:after="283"/>
              <w:jc w:val="right"/>
              <w:rPr/>
            </w:pPr>
            <w:r>
              <w:rPr/>
              <w:t>(3)%</w:t>
            </w:r>
          </w:p>
        </w:tc>
        <w:tc>
          <w:tcPr>
            <w:tcW w:w="163" w:type="dxa"/>
            <w:tcBorders>
              <w:bottom w:val="single" w:sz="2" w:space="0" w:color="000000"/>
            </w:tcBorders>
            <w:vAlign w:val="center"/>
          </w:tcPr>
          <w:p>
            <w:pPr>
              <w:pStyle w:val="TableContents"/>
              <w:bidi w:val="0"/>
              <w:spacing w:before="0" w:after="283"/>
              <w:jc w:val="left"/>
              <w:rPr/>
            </w:pPr>
            <w:r>
              <w:rPr/>
              <w:t>​</w:t>
            </w:r>
          </w:p>
        </w:tc>
        <w:tc>
          <w:tcPr>
            <w:tcW w:w="16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CCCCCC" w:val="clear"/>
            <w:tcMar>
              <w:bottom w:w="0" w:type="dxa"/>
            </w:tcMar>
            <w:vAlign w:val="center"/>
          </w:tcPr>
          <w:p>
            <w:pPr>
              <w:pStyle w:val="TableContents"/>
              <w:bidi w:val="0"/>
              <w:spacing w:before="0" w:after="283"/>
              <w:jc w:val="left"/>
              <w:rPr/>
            </w:pPr>
            <w:r>
              <w:rPr/>
              <w:t>​</w:t>
            </w:r>
          </w:p>
        </w:tc>
        <w:tc>
          <w:tcPr>
            <w:tcW w:w="4672" w:type="dxa"/>
            <w:tcBorders/>
            <w:shd w:fill="CCCCCC" w:val="clear"/>
            <w:tcMar>
              <w:bottom w:w="0" w:type="dxa"/>
            </w:tcMar>
            <w:vAlign w:val="center"/>
          </w:tcPr>
          <w:p>
            <w:pPr>
              <w:pStyle w:val="TableContents"/>
              <w:bidi w:val="0"/>
              <w:spacing w:before="0" w:after="283"/>
              <w:jc w:val="left"/>
              <w:rPr/>
            </w:pPr>
            <w:r>
              <w:rPr>
                <w:spacing w:val="4"/>
              </w:rPr>
              <w:t>Normalized organic gross profit growth</w:t>
            </w:r>
            <w:r>
              <w:rPr>
                <w:spacing w:val="3"/>
                <w:sz w:val="13"/>
              </w:rPr>
              <w:t>(b)</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left"/>
              <w:rPr/>
            </w:pPr>
            <w:r>
              <w:rPr/>
              <w:t>​</w:t>
            </w:r>
          </w:p>
        </w:tc>
        <w:tc>
          <w:tcPr>
            <w:tcW w:w="169" w:type="dxa"/>
            <w:tcBorders/>
            <w:shd w:fill="CCCCCC" w:val="clear"/>
            <w:tcMar>
              <w:bottom w:w="0" w:type="dxa"/>
            </w:tcMar>
            <w:vAlign w:val="center"/>
          </w:tcPr>
          <w:p>
            <w:pPr>
              <w:pStyle w:val="TableContents"/>
              <w:bidi w:val="0"/>
              <w:spacing w:before="0" w:after="283"/>
              <w:jc w:val="right"/>
              <w:rPr/>
            </w:pPr>
            <w:r>
              <w:rPr/>
              <w:t>​</w:t>
            </w:r>
          </w:p>
        </w:tc>
        <w:tc>
          <w:tcPr>
            <w:tcW w:w="591" w:type="dxa"/>
            <w:tcBorders/>
            <w:shd w:fill="CCCCCC" w:val="clear"/>
            <w:tcMar>
              <w:bottom w:w="0" w:type="dxa"/>
            </w:tcMar>
            <w:vAlign w:val="center"/>
          </w:tcPr>
          <w:p>
            <w:pPr>
              <w:pStyle w:val="TableContents"/>
              <w:bidi w:val="0"/>
              <w:spacing w:before="0" w:after="283"/>
              <w:jc w:val="right"/>
              <w:rPr/>
            </w:pPr>
            <w:r>
              <w:rPr/>
              <w:t>16%</w:t>
            </w:r>
          </w:p>
        </w:tc>
        <w:tc>
          <w:tcPr>
            <w:tcW w:w="17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left"/>
              <w:rPr/>
            </w:pPr>
            <w:r>
              <w:rPr/>
              <w:t>​</w:t>
            </w:r>
          </w:p>
        </w:tc>
        <w:tc>
          <w:tcPr>
            <w:tcW w:w="111" w:type="dxa"/>
            <w:tcBorders/>
            <w:shd w:fill="CCCCCC" w:val="clear"/>
            <w:tcMar>
              <w:bottom w:w="0" w:type="dxa"/>
            </w:tcMar>
            <w:vAlign w:val="center"/>
          </w:tcPr>
          <w:p>
            <w:pPr>
              <w:pStyle w:val="TableContents"/>
              <w:bidi w:val="0"/>
              <w:spacing w:before="0" w:after="283"/>
              <w:jc w:val="right"/>
              <w:rPr/>
            </w:pPr>
            <w:r>
              <w:rPr/>
              <w:t>​</w:t>
            </w:r>
          </w:p>
        </w:tc>
        <w:tc>
          <w:tcPr>
            <w:tcW w:w="707" w:type="dxa"/>
            <w:tcBorders/>
            <w:shd w:fill="CCCCCC" w:val="clear"/>
            <w:tcMar>
              <w:bottom w:w="0" w:type="dxa"/>
            </w:tcMar>
            <w:vAlign w:val="center"/>
          </w:tcPr>
          <w:p>
            <w:pPr>
              <w:pStyle w:val="TableContents"/>
              <w:bidi w:val="0"/>
              <w:spacing w:before="0" w:after="283"/>
              <w:jc w:val="right"/>
              <w:rPr/>
            </w:pPr>
            <w:r>
              <w:rPr/>
              <w:t>10%</w:t>
            </w:r>
          </w:p>
        </w:tc>
        <w:tc>
          <w:tcPr>
            <w:tcW w:w="111"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left"/>
              <w:rPr/>
            </w:pPr>
            <w:r>
              <w:rPr/>
              <w:t>​</w:t>
            </w:r>
          </w:p>
        </w:tc>
        <w:tc>
          <w:tcPr>
            <w:tcW w:w="159" w:type="dxa"/>
            <w:tcBorders/>
            <w:shd w:fill="CCCCCC" w:val="clear"/>
            <w:tcMar>
              <w:bottom w:w="0" w:type="dxa"/>
            </w:tcMar>
            <w:vAlign w:val="center"/>
          </w:tcPr>
          <w:p>
            <w:pPr>
              <w:pStyle w:val="TableContents"/>
              <w:bidi w:val="0"/>
              <w:spacing w:before="0" w:after="283"/>
              <w:jc w:val="right"/>
              <w:rPr/>
            </w:pPr>
            <w:r>
              <w:rPr/>
              <w:t>​</w:t>
            </w:r>
          </w:p>
        </w:tc>
        <w:tc>
          <w:tcPr>
            <w:tcW w:w="577" w:type="dxa"/>
            <w:tcBorders/>
            <w:shd w:fill="CCCCCC" w:val="clear"/>
            <w:tcMar>
              <w:bottom w:w="0" w:type="dxa"/>
            </w:tcMar>
            <w:vAlign w:val="center"/>
          </w:tcPr>
          <w:p>
            <w:pPr>
              <w:pStyle w:val="TableContents"/>
              <w:bidi w:val="0"/>
              <w:spacing w:before="0" w:after="283"/>
              <w:jc w:val="right"/>
              <w:rPr/>
            </w:pPr>
            <w:r>
              <w:rPr/>
              <w:t>13%</w:t>
            </w:r>
          </w:p>
        </w:tc>
        <w:tc>
          <w:tcPr>
            <w:tcW w:w="163" w:type="dxa"/>
            <w:tcBorders/>
            <w:shd w:fill="CCCCCC" w:val="clear"/>
            <w:tcMar>
              <w:bottom w:w="0" w:type="dxa"/>
            </w:tcMar>
            <w:vAlign w:val="center"/>
          </w:tcPr>
          <w:p>
            <w:pPr>
              <w:pStyle w:val="TableContents"/>
              <w:bidi w:val="0"/>
              <w:spacing w:before="0" w:after="283"/>
              <w:jc w:val="left"/>
              <w:rPr/>
            </w:pPr>
            <w:r>
              <w:rPr/>
              <w:t>​</w:t>
            </w:r>
          </w:p>
        </w:tc>
        <w:tc>
          <w:tcPr>
            <w:tcW w:w="16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year-on-year gross profit growth that excludes incremental gross profit attributable to acquisitions and dispositions made in the applicable prior period or any subsequent period.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year-on-year organic gross profit growth that excludes incremental gross profit attributable to REPAY’s media payments business related to the cyclical political media spending associated with the 2022 mid-term elections in the applicable prior period or any subsequent period.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21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35" descr=""/>
                    <pic:cNvPicPr>
                      <a:picLocks noChangeAspect="1" noChangeArrowheads="1"/>
                    </pic:cNvPicPr>
                  </pic:nvPicPr>
                  <pic:blipFill>
                    <a:blip r:embed="rId36"/>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REPAY HOLDINGS CORPORATION Annual Meeting of Stockholders May 30, 2024 at 10:00 AM EDT This Proxy is solicited on behalf of the Board of Directors of Repay Holdings Corporation The stockholder(s) hereby appoint(s) John Morris, Timothy J. Murphy and Tyler B. Dempsey, or any of them, as proxies, each with the power to appoint his substitute, and hereby authorize(s) them to represent and to vote, as designated on the reverse side of this ballot, all of the shares of common stock of Repay Holdings Corporation that the stockholder(s) is/are entitled to vote at the Annual Meeting of Stockholders to be held at 10:00 AM EDT on May 30, 2024 and any adjournment or postponement thereof. The Annual Meeting of Stockholders will be held virtually. In order to attend the meeting, you must register at http://www.viewproxy.com/Repay/2024 by 11:59 PM EDT on May 28, 2024. On the day of the Annual Meeting of Stockholders, you will be able to join the meeting by using the invite provided after registration. This proxy, when properly executed, will be voted in the manner directed herein. If no such direction is made, this proxy will be voted in accordance with the Board of Directors’ recommendations. These proxies are authorized to vote upon such other matters as may properly come before the Annual Meeting of Stockholders or any adjournment thereof in accordance with their judgment. CONTINUED AND TO BE MARKED, DATED AND SIGNED ON THE OTHER SIDE PLEASE DETACH ALONG PERFORATED LINE AND MAIL IN THE ENVELOPE PROVIDED. Important Notice Regarding the Availability of Proxy Materials for the Annual Meeting: The Proxy Statement and Annual Report are available at http://www.viewproxy.com/Repay/2024</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1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6" descr=""/>
                    <pic:cNvPicPr>
                      <a:picLocks noChangeAspect="1" noChangeArrowheads="1"/>
                    </pic:cNvPicPr>
                  </pic:nvPicPr>
                  <pic:blipFill>
                    <a:blip r:embed="rId3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1. To elect nine directors for terms expiring at the 2025 Annual Meeting of Stockholders; FOR WITHHOLD Shaler Alias Paul R. Garcia Maryann Goebel Robert H. Hartheimer William Jacobs Peter J. Kight John Morris Emnet Rios Richard E. Thornburgh Please mark your votes like this 2. To approve, on a non-binding advisory basis, the compensation of our named executive officers; FOR AGAINST ABSTAIN 3. To approve and adopt an amendment and restatement of our Omnibus Incentive Plan (the “Second Amended and Restated Plan”); FOR AGAINST ABSTAIN 4. To ratify the appointment of Grant Thornton, LLP as our independent registered public accounting firm for the fiscal year ending December 31, 2024. FOR AGAINST ABSTAIN Note: To transact such other business as may properly come before the meeting or any adjournment thereof Voting recommendations: Our Board of Directors recommends that you vote “FOR” each of the nominees for director (Proposal One), “FOR” the approval of the compensation of our named executive officers (Proposal Two), “FOR” the approval of the Second Amended and Restated Plan (Proposal Three) and “FOR” ratification of the proposed independent registered public accounting firm (Proposal Four). Date: Change of Address — Please print new address below VIRTUAL CONTROL NUMBER Signature Signature (if held jointly) NOTE: This proxy should be marked, dated and signed by each stockholder exactly as such stockholder’s name appears hereon, and returned promptly in the enclosed envelope. When shares are held jointly, each holder should sign. When signing as an executor, administrator, attorney, trustee or guardian please give full title as such. If the signatory is a corporation, please sign full corporate name by duly authorized officer, giving full title as such. If the signatory is a partnership, please sign in the partnership name by authorized person. PLEASE DETACH ALONG PERFORATED LINE AND MAIL IN THE ENVELOPE PROVIDED. As a stockholder of Repay Holdings Corporation you have the option of voting your shares electronically through the Internet or by telephone, eliminating the need to return the proxy card. Your electronic vote authorizes the named proxies to vote your shares in the same manner as if you marked, signed, dated and returned the proxy card. Votes submitted electronically over the Internet or by telephone must be received by 11:59 PM EDT on May 29, 2024. As a Registered Holder, you may vote your shares at the Annual Meeting by first registering at http://www.viewproxy.com/Repay/2024 using your Virtual Control Number below. Your registration must be received by 11:59 PM EDT on May 28, 2024. On the day of the meeting, you may log in to the meeting through the link provided following registration using the password you received via email in your registration confirmation and follow instructions to vote your shares. Please have your Virtual Control Number with you during the meeting in order to vote. Further instructions on how to attend and vote at the Annual Meeting are contained in the Proxy Statement in the section titled “General Information”. VIRTUAL CONTROL NUMBER PROXY VOTING INSTRUCTIONS Please have your 11-digit Virtual Control Number ready when voting by Internet or telephone ( INTERNET Vote Your Shares on the Internet: Go to http://www.AALvote.com/RPAY Have your proxy card available when you access the above website. Follow the prompts to vote your shares. TELEPHONE Vote Your Shares by Phone: Call 1 (866) 804-9616 Use any touch-tone telephone to vote your shares. Have your proxy card available when you call. Follow the voting instructions to vote your shares. MAIL Vote Your Shares by Mail: Mark, sign, and date your proxy card, then detach it, and return it in the postage-paid envelope provided.</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18.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18.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18.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18.jpeg"/><Relationship Id="rId32" Type="http://schemas.openxmlformats.org/officeDocument/2006/relationships/image" Target="media/image18.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56088</Words>
  <Characters>300925</Characters>
  <CharactersWithSpaces>367161</CharactersWithSpaces>
  <Paragraphs>11511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