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33.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47.jpeg" ContentType="image/jpeg"/>
  <Override PartName="/word/media/image31.jpeg" ContentType="image/jpeg"/>
  <Override PartName="/word/media/image48.jpeg" ContentType="image/jpeg"/>
  <Override PartName="/word/media/image53.jpeg" ContentType="image/jpeg"/>
  <Override PartName="/word/media/image32.jpeg" ContentType="image/jpeg"/>
  <Override PartName="/word/media/image49.jpeg" ContentType="image/jpeg"/>
  <Override PartName="/word/media/image54.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rFonts w:ascii="Times New Roman" w:hAnsi="Times New Roman"/>
          <w:color w:val="000000"/>
          <w:sz w:val="20"/>
        </w:rPr>
      </w:pPr>
      <w:bookmarkStart w:id="0" w:name="rpay-20260810.htm"/>
      <w:bookmarkStart w:id="1" w:name="ksrpay20260810"/>
      <w:bookmarkEnd w:id="0"/>
      <w:bookmarkEnd w:id="1"/>
      <w:r>
        <w:rPr>
          <w:rFonts w:ascii="Times New Roman" w:hAnsi="Times New Roman"/>
          <w:color w:val="000000"/>
          <w:sz w:val="20"/>
        </w:rPr>
        <w:t>;</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REPAY HOLDINGS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001-38531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98-1496050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3060 Peachtree Road NW</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1100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Atlanta, Georgia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30305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404</w:t>
            </w:r>
            <w:r>
              <w:rPr>
                <w:rFonts w:ascii="Times New Roman" w:hAnsi="Times New Roman"/>
                <w:color w:val="000000"/>
                <w:sz w:val="20"/>
              </w:rPr>
              <w:t xml:space="preserve"> </w:t>
            </w:r>
            <w:r>
              <w:rPr>
                <w:rFonts w:ascii="Times New Roman" w:hAnsi="Times New Roman"/>
                <w:b/>
                <w:color w:val="000000"/>
                <w:sz w:val="20"/>
              </w:rPr>
              <w:t>504-7472</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355" w:type="dxa"/>
        <w:jc w:val="left"/>
        <w:tblInd w:w="0" w:type="dxa"/>
        <w:tblLayout w:type="fixed"/>
        <w:tblCellMar>
          <w:top w:w="28" w:type="dxa"/>
          <w:left w:w="28" w:type="dxa"/>
          <w:bottom w:w="28" w:type="dxa"/>
          <w:right w:w="28" w:type="dxa"/>
        </w:tblCellMar>
      </w:tblPr>
      <w:tblGrid>
        <w:gridCol w:w="4291"/>
        <w:gridCol w:w="146"/>
        <w:gridCol w:w="946"/>
        <w:gridCol w:w="146"/>
        <w:gridCol w:w="382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RPAY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Preferred Stock Purchase Rights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10, 2026, Repay Holdings Corporation (the “Company”) issued a press release announcing the results of the Company’s operations for the quarter ended June 30,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copy of the Company’s earnings press release is attached hereto as Exhibit 99.1 and is hereby incorporated by reference in this Item 2.02. As provided in General Instruction B.2 of Form 8-K, the information and exhibits contained in this Item 2.02 shall not be deemed to be “filed” for purposes of Section 18 of the Securities Exchange Act of 1934, as amended (the “Exchange Act”), nor shall they be deemed to be incorporated by reference in any filing under the Securities Act of 1933, as amended, except as shall be expressly set forth by specific reference in such a filing.</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10, 2026, the Company provided supplemental information regarding its business and operations in an earnings supplement and investor presentation that will be made available on the investor relations section of the Company’s website.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Copies of the earnings supplement and investor presentation are attached hereto as Exhibits 99.2 and 99.3 and are hereby incorporated by reference in this Item 7.01. As provided in General Instruction B.2 of Form 8-K, the information and exhibits contained in this Item 7.01 shall not be deemed to be “filed” for purposes of Section 18 of the Exchange Act, nor shall they be deemed to be incorporated by reference in any filing under the Securities Act, except as shall be expressly set forth by specific reference in such a filing.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(d) Exhibits</w:t>
      </w:r>
      <w:r>
        <w:rPr>
          <w:rFonts w:ascii="Times New Roman" w:hAnsi="Times New Roman"/>
          <w:color w:val="000000"/>
          <w:sz w:val="20"/>
        </w:rPr>
        <w:t xml:space="preserve"> </w:t>
      </w:r>
    </w:p>
    <w:tbl>
      <w:tblPr>
        <w:tblW w:w="7828" w:type="dxa"/>
        <w:jc w:val="left"/>
        <w:tblInd w:w="0" w:type="dxa"/>
        <w:tblLayout w:type="fixed"/>
        <w:tblCellMar>
          <w:top w:w="28" w:type="dxa"/>
          <w:left w:w="28" w:type="dxa"/>
          <w:bottom w:w="28" w:type="dxa"/>
          <w:right w:w="28" w:type="dxa"/>
        </w:tblCellMar>
      </w:tblPr>
      <w:tblGrid>
        <w:gridCol w:w="1081"/>
        <w:gridCol w:w="146"/>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pay-ex99_1.htm">
              <w:r>
                <w:rPr>
                  <w:rStyle w:val="InternetLink"/>
                  <w:rFonts w:ascii="Times New Roman" w:hAnsi="Times New Roman"/>
                  <w:color w:val="0000FF"/>
                  <w:sz w:val="20"/>
                  <w:u w:val="single"/>
                </w:rPr>
                <w:t>Press release issued August 10, 2026 by Repay Holdings Corporation</w:t>
              </w:r>
            </w:hyperlink>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pay-ex99_2.htm">
              <w:r>
                <w:rPr>
                  <w:rStyle w:val="InternetLink"/>
                  <w:rFonts w:ascii="Times New Roman" w:hAnsi="Times New Roman"/>
                  <w:color w:val="0000FF"/>
                  <w:sz w:val="20"/>
                  <w:u w:val="single"/>
                </w:rPr>
                <w:t>Earnings Supplement, dated August 2026</w:t>
              </w:r>
            </w:hyperlink>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pay-ex99_3.htm">
              <w:r>
                <w:rPr>
                  <w:rStyle w:val="InternetLink"/>
                  <w:rFonts w:ascii="Times New Roman" w:hAnsi="Times New Roman"/>
                  <w:color w:val="0000FF"/>
                  <w:sz w:val="20"/>
                  <w:u w:val="single"/>
                </w:rPr>
                <w:t>Investor Presentation, dated August 2026</w:t>
              </w:r>
            </w:hyperlink>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666" w:type="dxa"/>
        <w:jc w:val="left"/>
        <w:tblInd w:w="0" w:type="dxa"/>
        <w:tblLayout w:type="fixed"/>
        <w:tblCellMar>
          <w:top w:w="28" w:type="dxa"/>
          <w:left w:w="28" w:type="dxa"/>
          <w:bottom w:w="28" w:type="dxa"/>
          <w:right w:w="28" w:type="dxa"/>
        </w:tblCellMar>
      </w:tblPr>
      <w:tblGrid>
        <w:gridCol w:w="2056"/>
        <w:gridCol w:w="438"/>
        <w:gridCol w:w="2172"/>
      </w:tblGrid>
      <w:tr>
        <w:trPr/>
        <w:tc>
          <w:tcPr>
            <w:tcW w:w="205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Repay Holdings Corporation</w:t>
            </w:r>
          </w:p>
        </w:tc>
      </w:tr>
      <w:tr>
        <w:trPr/>
        <w:tc>
          <w:tcPr>
            <w:tcW w:w="20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10, 2026</w:t>
            </w:r>
          </w:p>
        </w:tc>
        <w:tc>
          <w:tcPr>
            <w:tcW w:w="4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72"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S. Houser</w:t>
            </w:r>
          </w:p>
        </w:tc>
      </w:tr>
      <w:tr>
        <w:trPr/>
        <w:tc>
          <w:tcPr>
            <w:tcW w:w="20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S. Houser</w:t>
            </w:r>
          </w:p>
        </w:tc>
      </w:tr>
      <w:tr>
        <w:trPr/>
        <w:tc>
          <w:tcPr>
            <w:tcW w:w="20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rpay-ex99_1.htm"/>
      <w:bookmarkStart w:id="3" w:name="ksrpayex99_1"/>
      <w:bookmarkEnd w:id="2"/>
      <w:bookmarkEnd w:id="3"/>
      <w:r>
        <w:rPr/>
        <w:t> </w:t>
      </w:r>
      <w:r>
        <w:br w:type="page"/>
      </w:r>
    </w:p>
    <w:p>
      <w:pPr>
        <w:pStyle w:val="TextBody"/>
        <w:bidi w:val="0"/>
        <w:jc w:val="center"/>
        <w:rPr>
          <w:rFonts w:ascii="Times New Roman" w:hAnsi="Times New Roman"/>
          <w:sz w:val="20"/>
        </w:rPr>
      </w:pPr>
      <w:r>
        <w:rPr>
          <w:rFonts w:ascii="Arial" w:hAnsi="Arial"/>
          <w:b/>
          <w:color w:val="000000"/>
          <w:sz w:val="22"/>
        </w:rPr>
        <w:t>REPAY Reports Second Quarter 2026 Financial Results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i/>
          <w:color w:val="000000"/>
          <w:sz w:val="22"/>
        </w:rPr>
      </w:pPr>
      <w:r>
        <w:rPr>
          <w:rFonts w:ascii="Arial" w:hAnsi="Arial"/>
          <w:i/>
          <w:color w:val="000000"/>
          <w:sz w:val="22"/>
        </w:rPr>
        <w:t>Sustained Organic Growth and Healthy Free Cash Flow during Q2</w:t>
      </w:r>
    </w:p>
    <w:p>
      <w:pPr>
        <w:pStyle w:val="TextBody"/>
        <w:bidi w:val="0"/>
        <w:jc w:val="center"/>
        <w:rPr>
          <w:rFonts w:ascii="Arial" w:hAnsi="Arial"/>
          <w:i/>
          <w:color w:val="000000"/>
          <w:sz w:val="22"/>
        </w:rPr>
      </w:pPr>
      <w:r>
        <w:rPr>
          <w:rFonts w:ascii="Arial" w:hAnsi="Arial"/>
          <w:i/>
          <w:color w:val="000000"/>
          <w:sz w:val="22"/>
        </w:rPr>
        <w:t>Reiterates 2026 Outlook that includes KUBRA contributions</w:t>
      </w:r>
    </w:p>
    <w:p>
      <w:pPr>
        <w:pStyle w:val="TextBody"/>
        <w:bidi w:val="0"/>
        <w:jc w:val="center"/>
        <w:rPr>
          <w:rFonts w:ascii="Times New Roman" w:hAnsi="Times New Roman"/>
          <w:sz w:val="20"/>
        </w:rPr>
      </w:pPr>
      <w:r>
        <w:rPr>
          <w:rFonts w:ascii="Arial" w:hAnsi="Arial"/>
          <w:i/>
          <w:color w:val="000000"/>
          <w:sz w:val="22"/>
        </w:rPr>
        <w:t>Strong Execution towards Run-Rate Synergies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ATLANTA, August 10, 2026 -- Repay Holdings Corporation (NASDAQ: RPAY) (“REPAY” or the “Company”), a leading provider of bill payment solutions, today reported financial results for its second quarter ended June 30, 2026.</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Second Quarter 2026 Financial Highlights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433"/>
        <w:gridCol w:w="246"/>
        <w:gridCol w:w="211"/>
        <w:gridCol w:w="631"/>
        <w:gridCol w:w="271"/>
        <w:gridCol w:w="246"/>
        <w:gridCol w:w="254"/>
        <w:gridCol w:w="561"/>
        <w:gridCol w:w="271"/>
        <w:gridCol w:w="246"/>
        <w:gridCol w:w="211"/>
        <w:gridCol w:w="631"/>
        <w:gridCol w:w="271"/>
        <w:gridCol w:w="246"/>
        <w:gridCol w:w="234"/>
        <w:gridCol w:w="584"/>
        <w:gridCol w:w="271"/>
        <w:gridCol w:w="246"/>
        <w:gridCol w:w="221"/>
        <w:gridCol w:w="600"/>
        <w:gridCol w:w="320"/>
      </w:tblGrid>
      <w:tr>
        <w:trPr/>
        <w:tc>
          <w:tcPr>
            <w:tcW w:w="343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millions)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Q2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Q3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Q4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Q2 2026</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3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3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i/>
                <w:color w:val="000000"/>
                <w:sz w:val="20"/>
              </w:rPr>
              <w:t xml:space="preserve">Net (loss) income </w:t>
            </w:r>
            <w:r>
              <w:rPr>
                <w:rFonts w:ascii="Times New Roman" w:hAnsi="Times New Roman"/>
                <w:i/>
                <w:color w:val="000000"/>
                <w:sz w:val="13"/>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(108.0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(6.6</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(148.3</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(11.5</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r>
        <w:trPr/>
        <w:tc>
          <w:tcPr>
            <w:tcW w:w="3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EBITDA </w:t>
            </w:r>
            <w:r>
              <w:rPr>
                <w:rFonts w:ascii="Times New Roman" w:hAnsi="Times New Roman"/>
                <w:color w:val="000000"/>
                <w:sz w:val="13"/>
              </w:rPr>
              <w:t>(2)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3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3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Net cash provided by 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40.2</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Free Cash Flow </w:t>
            </w:r>
            <w:r>
              <w:rPr>
                <w:rFonts w:ascii="Times New Roman" w:hAnsi="Times New Roman"/>
                <w:color w:val="000000"/>
                <w:sz w:val="13"/>
              </w:rPr>
              <w:t>(2)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Free Cash Flow Conversion </w:t>
            </w:r>
            <w:r>
              <w:rPr>
                <w:rFonts w:ascii="Times New Roman" w:hAnsi="Times New Roman"/>
                <w:color w:val="000000"/>
                <w:sz w:val="13"/>
              </w:rPr>
              <w:t>(2)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(1)</w:t>
      </w:r>
    </w:p>
    <w:p>
      <w:pPr>
        <w:pStyle w:val="TextBody"/>
        <w:bidi w:val="0"/>
        <w:spacing w:before="0" w:after="0"/>
        <w:jc w:val="both"/>
        <w:rPr>
          <w:rFonts w:ascii="Arial" w:hAnsi="Arial"/>
          <w:color w:val="000000"/>
          <w:sz w:val="18"/>
        </w:rPr>
      </w:pPr>
      <w:r>
        <w:rPr>
          <w:rFonts w:ascii="Arial" w:hAnsi="Arial"/>
          <w:color w:val="000000"/>
          <w:sz w:val="18"/>
        </w:rPr>
        <w:t>During the second and fourth quarter of 2025, Net loss was impacted by a $103.8 million and a $138.9 million goodwill impairment loss, respectively, primarily related to the Consumer Payments segment. Further information about this non-cash impairment loss can be found in the Annual Report on Form 10-K for the year ended December 31, 2025.</w:t>
      </w:r>
    </w:p>
    <w:p>
      <w:pPr>
        <w:pStyle w:val="TextBody"/>
        <w:bidi w:val="0"/>
        <w:spacing w:before="0" w:after="0"/>
        <w:jc w:val="both"/>
        <w:rPr>
          <w:rFonts w:ascii="Arial" w:hAnsi="Arial"/>
          <w:color w:val="000000"/>
          <w:sz w:val="18"/>
        </w:rPr>
      </w:pPr>
      <w:r>
        <w:rPr>
          <w:rFonts w:ascii="Arial" w:hAnsi="Arial"/>
          <w:color w:val="000000"/>
          <w:sz w:val="18"/>
        </w:rPr>
        <w:t>(2)</w:t>
      </w:r>
    </w:p>
    <w:p>
      <w:pPr>
        <w:pStyle w:val="TextBody"/>
        <w:bidi w:val="0"/>
        <w:jc w:val="both"/>
        <w:rPr>
          <w:rFonts w:ascii="Arial" w:hAnsi="Arial"/>
          <w:color w:val="000000"/>
          <w:sz w:val="18"/>
        </w:rPr>
      </w:pPr>
      <w:r>
        <w:rPr>
          <w:rFonts w:ascii="Arial" w:hAnsi="Arial"/>
          <w:color w:val="000000"/>
          <w:sz w:val="18"/>
        </w:rPr>
        <w:t>Adjusted EBITDA, Free Cash Flow and Free Cash Flow Conversion are non-GAAP financial measures. See “Non-GAAP Financial Measures” and the reconciliation of Adjusted EBITDA, Free Cash Flow and Free Cash Flow Conversion to their most comparable GAAP measure provided below for additional information.</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2"/>
        </w:rPr>
        <w:t>"It has been an exciting time for REPAY during the second quarter," John Morris, Chief Executive Officer of REPAY. "We delivered revenue growth of 33%, achieved approximately 6% organic revenue growth</w:t>
      </w:r>
      <w:r>
        <w:rPr>
          <w:rFonts w:ascii="Arial" w:hAnsi="Arial"/>
          <w:color w:val="000000"/>
          <w:sz w:val="15"/>
        </w:rPr>
        <w:t>1</w:t>
      </w:r>
      <w:r>
        <w:rPr>
          <w:rFonts w:ascii="Arial" w:hAnsi="Arial"/>
          <w:color w:val="000000"/>
          <w:sz w:val="22"/>
        </w:rPr>
        <w:t>, while generating $27.4 million of Free Cash Flow. Our most significant corporate development this year was completing the KUBRA acquisition in June and we immediately began executing on the integration. REPAY is now fully positioned to be a leading Consumer Bill Payment and Communication Services platform in the United States and Canada. We look forward to our continued execution during the second half of the year, where we are confident in our ability to accelerate organic growth into double-digits while also creating value from KUBRA contributions and realized synergies."</w:t>
      </w:r>
    </w:p>
    <w:p>
      <w:pPr>
        <w:pStyle w:val="TextBody"/>
        <w:bidi w:val="0"/>
        <w:jc w:val="left"/>
        <w:rPr/>
      </w:pPr>
      <w:r>
        <w:rPr/>
        <w:t> </w:t>
      </w:r>
    </w:p>
    <w:p>
      <w:pPr>
        <w:pStyle w:val="TextBody"/>
        <w:bidi w:val="0"/>
        <w:jc w:val="both"/>
        <w:rPr>
          <w:rFonts w:ascii="Arial" w:hAnsi="Arial"/>
          <w:b/>
          <w:color w:val="000000"/>
          <w:sz w:val="22"/>
        </w:rPr>
      </w:pPr>
      <w:r>
        <w:rPr>
          <w:rFonts w:ascii="Arial" w:hAnsi="Arial"/>
          <w:b/>
          <w:color w:val="000000"/>
          <w:sz w:val="22"/>
        </w:rPr>
        <w:t>Second Quarter 2026 Business Highlights</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The Company's achievements in the quarter, including those highlighted below, reinforce management's belief in the ability of the Company to drive durable and long-term growth across REPAY's diversified business model.</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color w:val="000000"/>
          <w:sz w:val="22"/>
        </w:rPr>
        <w:t>Reported revenue growth of 33% and organic revenue growth</w:t>
      </w:r>
      <w:r>
        <w:rPr>
          <w:rFonts w:ascii="Arial" w:hAnsi="Arial"/>
          <w:color w:val="000000"/>
          <w:sz w:val="15"/>
        </w:rPr>
        <w:t>1</w:t>
      </w:r>
      <w:r>
        <w:rPr>
          <w:color w:val="000000"/>
        </w:rPr>
        <w:t xml:space="preserve"> </w:t>
      </w:r>
      <w:r>
        <w:rPr>
          <w:rFonts w:ascii="Arial" w:hAnsi="Arial"/>
          <w:color w:val="000000"/>
          <w:sz w:val="22"/>
        </w:rPr>
        <w:t>of 6% year-over-year</w:t>
      </w:r>
    </w:p>
    <w:p>
      <w:pPr>
        <w:pStyle w:val="TextBody"/>
        <w:bidi w:val="0"/>
        <w:spacing w:before="0" w:after="0"/>
        <w:jc w:val="both"/>
        <w:rPr>
          <w:color w:val="000000"/>
        </w:rPr>
      </w:pPr>
      <w:r>
        <w:rPr>
          <w:color w:val="000000"/>
        </w:rPr>
        <w:t>•</w:t>
      </w:r>
    </w:p>
    <w:p>
      <w:pPr>
        <w:pStyle w:val="TextBody"/>
        <w:bidi w:val="0"/>
        <w:spacing w:before="0" w:after="0"/>
        <w:jc w:val="both"/>
        <w:rPr/>
      </w:pPr>
      <w:r>
        <w:rPr>
          <w:rFonts w:ascii="Arial" w:hAnsi="Arial"/>
          <w:color w:val="000000"/>
          <w:sz w:val="22"/>
        </w:rPr>
        <w:t>Consumer Payments revenue growth and organic revenue growth</w:t>
      </w:r>
      <w:r>
        <w:rPr>
          <w:rFonts w:ascii="Arial" w:hAnsi="Arial"/>
          <w:color w:val="000000"/>
          <w:sz w:val="15"/>
        </w:rPr>
        <w:t>1</w:t>
      </w:r>
      <w:r>
        <w:rPr>
          <w:color w:val="000000"/>
        </w:rPr>
        <w:t xml:space="preserve"> </w:t>
      </w:r>
      <w:r>
        <w:rPr>
          <w:rFonts w:ascii="Arial" w:hAnsi="Arial"/>
          <w:color w:val="000000"/>
          <w:sz w:val="22"/>
        </w:rPr>
        <w:t>was 33% and 4% year-over-year</w:t>
      </w:r>
    </w:p>
    <w:p>
      <w:pPr>
        <w:pStyle w:val="TextBody"/>
        <w:bidi w:val="0"/>
        <w:spacing w:before="0" w:after="0"/>
        <w:jc w:val="both"/>
        <w:rPr>
          <w:color w:val="000000"/>
        </w:rPr>
      </w:pPr>
      <w:r>
        <w:rPr>
          <w:color w:val="000000"/>
        </w:rPr>
        <w:t>•</w:t>
      </w:r>
    </w:p>
    <w:p>
      <w:pPr>
        <w:pStyle w:val="TextBody"/>
        <w:bidi w:val="0"/>
        <w:spacing w:before="0" w:after="0"/>
        <w:jc w:val="both"/>
        <w:rPr/>
      </w:pPr>
      <w:r>
        <w:rPr>
          <w:rFonts w:ascii="Arial" w:hAnsi="Arial"/>
          <w:color w:val="000000"/>
          <w:sz w:val="22"/>
        </w:rPr>
        <w:t>Business Payments revenue growth and normalized organic revenue growth</w:t>
      </w:r>
      <w:r>
        <w:rPr>
          <w:rFonts w:ascii="Arial" w:hAnsi="Arial"/>
          <w:color w:val="000000"/>
          <w:sz w:val="15"/>
        </w:rPr>
        <w:t>1</w:t>
      </w:r>
      <w:r>
        <w:rPr>
          <w:color w:val="000000"/>
        </w:rPr>
        <w:t xml:space="preserve"> </w:t>
      </w:r>
      <w:r>
        <w:rPr>
          <w:rFonts w:ascii="Arial" w:hAnsi="Arial"/>
          <w:color w:val="000000"/>
          <w:sz w:val="22"/>
        </w:rPr>
        <w:t>was 32% and 19% year-over-year</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2"/>
        </w:rPr>
      </w:pPr>
      <w:r>
        <w:rPr>
          <w:rFonts w:ascii="Arial" w:hAnsi="Arial"/>
          <w:color w:val="000000"/>
          <w:sz w:val="22"/>
        </w:rPr>
        <w:t>KUBRA contributed approximately $21 million of revenue during the quarter (for June 2026), representing 5% year-over-year growth compared to June 2025</w:t>
      </w:r>
    </w:p>
    <w:p>
      <w:pPr>
        <w:pStyle w:val="TextBody"/>
        <w:bidi w:val="0"/>
        <w:jc w:val="both"/>
        <w:rPr>
          <w:rFonts w:ascii="Times New Roman" w:hAnsi="Times New Roman"/>
          <w:sz w:val="20"/>
        </w:rPr>
      </w:pPr>
      <w:r>
        <w:rPr>
          <w:rFonts w:ascii="Arial" w:hAnsi="Arial"/>
          <w:color w:val="000000"/>
          <w:sz w:val="13"/>
        </w:rPr>
        <w:t>1</w:t>
      </w:r>
      <w:r>
        <w:rPr>
          <w:rFonts w:ascii="Times New Roman" w:hAnsi="Times New Roman"/>
          <w:color w:val="000000"/>
          <w:sz w:val="20"/>
        </w:rPr>
        <w:t xml:space="preserve"> </w:t>
      </w:r>
      <w:r>
        <w:rPr>
          <w:rFonts w:ascii="Arial" w:hAnsi="Arial"/>
          <w:color w:val="000000"/>
          <w:sz w:val="20"/>
        </w:rPr>
        <w:t>Organic revenue growth and normalized organic revenue growth are non-GAAP financial measures. See “Non-GAAP Financial Measures” and the reconciliations to their most comparable GAAP measure provided below for additional information.</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 xml:space="preserve">Now reaches over 352 software partners across our Consumer and Business Payment verticals, which includes 54 partners from the KUBRA acquisition </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2"/>
        </w:rPr>
      </w:pPr>
      <w:r>
        <w:rPr>
          <w:rFonts w:ascii="Arial" w:hAnsi="Arial"/>
          <w:color w:val="000000"/>
          <w:sz w:val="22"/>
        </w:rPr>
        <w:t>Accelerated AP supplier network to over 731,000, an increase of approximately 66% year-over-year</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2026 Outlook</w:t>
      </w:r>
    </w:p>
    <w:p>
      <w:pPr>
        <w:pStyle w:val="TextBody"/>
        <w:bidi w:val="0"/>
        <w:jc w:val="left"/>
        <w:rPr/>
      </w:pPr>
      <w:r>
        <w:rPr/>
        <w:t> </w:t>
      </w:r>
    </w:p>
    <w:p>
      <w:pPr>
        <w:pStyle w:val="TextBody"/>
        <w:bidi w:val="0"/>
        <w:jc w:val="both"/>
        <w:rPr>
          <w:color w:val="000000"/>
        </w:rPr>
      </w:pPr>
      <w:r>
        <w:rPr>
          <w:color w:val="000000"/>
        </w:rPr>
        <w:t>“</w:t>
      </w:r>
      <w:r>
        <w:rPr>
          <w:rFonts w:ascii="Arial" w:hAnsi="Arial"/>
          <w:color w:val="000000"/>
          <w:sz w:val="22"/>
        </w:rPr>
        <w:t>With a solid strong first half behind us, we are confident in achieving the 2026 Outlook,” said Robert Houser, Chief Financial Officer of REPAY. "The progress is evident as we move into the second half of 2026. As we work through implementations and continue our sales momentum, REPAY has the teams in place for organic growth to accelerate into double-digits and offers a complete platform for additional value creation opportunities with KUBRA. The combined free cash flow generation and expected synergy realization gives us confidence in obtaining our net leverage target of returning below 3x over the next 18 months."</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As we previously provided in the press release announcing the closing of the KUBRA acquisition on June 1st, REPAY updated its outlook for full year 2026 to incorporate KUBRA’s expected contributions for the remaining seven months of the year. KUBRA is expected to contribute between $150 million and $154 million in revenue and between $27.5 million and $30 million in Adjusted EBITDA during 2026. On an organic basis, REPAY expects approximately 10% to 12% revenue growth. REPAY is reiterating the 2026 outlook presented at that time and continues to expect the following financial results for full year 2026:</w:t>
      </w:r>
    </w:p>
    <w:p>
      <w:pPr>
        <w:pStyle w:val="TextBody"/>
        <w:bidi w:val="0"/>
        <w:jc w:val="both"/>
        <w:rPr/>
      </w:pPr>
      <w:r>
        <w:rPr/>
        <w:t> </w:t>
      </w:r>
    </w:p>
    <w:tbl>
      <w:tblPr>
        <w:tblW w:w="5297" w:type="dxa"/>
        <w:jc w:val="left"/>
        <w:tblInd w:w="0" w:type="dxa"/>
        <w:tblLayout w:type="fixed"/>
        <w:tblCellMar>
          <w:top w:w="28" w:type="dxa"/>
          <w:left w:w="28" w:type="dxa"/>
          <w:bottom w:w="28" w:type="dxa"/>
          <w:right w:w="28" w:type="dxa"/>
        </w:tblCellMar>
      </w:tblPr>
      <w:tblGrid>
        <w:gridCol w:w="3136"/>
        <w:gridCol w:w="2161"/>
      </w:tblGrid>
      <w:tr>
        <w:trPr/>
        <w:tc>
          <w:tcPr>
            <w:tcW w:w="3136"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Full Year 2026 Outlook</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$490 - 500 million</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21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$168.5 - 176 million</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 Conversion</w:t>
            </w:r>
          </w:p>
        </w:tc>
        <w:tc>
          <w:tcPr>
            <w:tcW w:w="21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Free Cash Flow Conversion</w:t>
            </w:r>
          </w:p>
        </w:tc>
        <w:tc>
          <w:tcPr>
            <w:tcW w:w="21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bl>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REPAY does not provide quantitative reconciliation of forward-looking, non-GAAP financial measures, such as Adjusted EBITDA, Free Cash Flow Conversion and Adjusted Free Cash Flow Conversion, to the most directly comparable GAAP financial measure, because it is difficult to reliably predict or estimate the relevant components without unreasonable effort due to future uncertainties that may potentially have a significant impact on such calculations, and providing them may imply a degree of precision that would be confusing or potentially misleading.</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Segments</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The Company reports its financial results based on two reportable segments.</w:t>
      </w:r>
    </w:p>
    <w:p>
      <w:pPr>
        <w:pStyle w:val="TextBody"/>
        <w:bidi w:val="0"/>
        <w:jc w:val="both"/>
        <w:rPr/>
      </w:pPr>
      <w:r>
        <w:rPr/>
        <w:t> </w:t>
      </w:r>
    </w:p>
    <w:p>
      <w:pPr>
        <w:pStyle w:val="TextBody"/>
        <w:bidi w:val="0"/>
        <w:jc w:val="both"/>
        <w:rPr>
          <w:rFonts w:ascii="Times New Roman" w:hAnsi="Times New Roman"/>
          <w:sz w:val="20"/>
        </w:rPr>
      </w:pPr>
      <w:r>
        <w:rPr>
          <w:rFonts w:ascii="Arial" w:hAnsi="Arial"/>
          <w:i/>
          <w:color w:val="000000"/>
          <w:sz w:val="22"/>
        </w:rPr>
        <w:t xml:space="preserve">Consumer Payments </w:t>
      </w:r>
      <w:r>
        <w:rPr>
          <w:rFonts w:ascii="Times New Roman" w:hAnsi="Times New Roman"/>
          <w:color w:val="000000"/>
          <w:sz w:val="20"/>
        </w:rPr>
        <w:t xml:space="preserve">– </w:t>
      </w:r>
      <w:r>
        <w:rPr>
          <w:rFonts w:ascii="Arial" w:hAnsi="Arial"/>
          <w:color w:val="000000"/>
          <w:sz w:val="22"/>
        </w:rPr>
        <w:t>The Consumer Payments segment provides an end-to-end bill payment platform, including bill design &amp; presentment, communication services, and payment processing solutions (including debit and credit card processing, ACH processing and other electronic payment acceptance solutions, as well as our loan disbursement product) that enable the Company’s clients to notify, distribute billing statements, collect payments, and disburse funds to consumers and includes the Company’s clearing and settlement solutions (“RCS”) offering. RCS is the Company’s proprietary clearing and settlement platform through which the Company markets customizable payment processing programs to other Independent Sales Organizations (“ISOs”) and payment facilitators. In addition, the Company provides professional services to clients for customization and configuration of the product suite offering. The strategic vertical markets served by the Consumer Payments segment primarily include utilities, personal loans,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2"/>
        </w:rPr>
        <w:t>automotive loans, government, receivables management, financial institutions, credit unions, mortgage servicing, consumer healthcare, insurance, and diversified retail.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i/>
          <w:color w:val="000000"/>
          <w:sz w:val="22"/>
        </w:rPr>
        <w:t xml:space="preserve">Business Payments </w:t>
      </w:r>
      <w:r>
        <w:rPr>
          <w:rFonts w:ascii="Times New Roman" w:hAnsi="Times New Roman"/>
          <w:color w:val="000000"/>
          <w:sz w:val="20"/>
        </w:rPr>
        <w:t xml:space="preserve">– </w:t>
      </w:r>
      <w:r>
        <w:rPr>
          <w:rFonts w:ascii="Arial" w:hAnsi="Arial"/>
          <w:color w:val="000000"/>
          <w:sz w:val="22"/>
        </w:rPr>
        <w:t>The Business Payments segment provides payment processing solutions (including accounts payable automation, debit and credit card processing, virtual credit card processing, ACH processing and other electronic payment acceptance solutions) that enable REPAY’s clients to collect payments from or send payments to other businesses. The strategic vertical markets served within the Business Payments segment primarily include retail automotive, education, field services, governments and municipalities, healthcare, media, homeowner association management and hospitality.</w:t>
      </w:r>
    </w:p>
    <w:p>
      <w:pPr>
        <w:pStyle w:val="TextBody"/>
        <w:bidi w:val="0"/>
        <w:jc w:val="left"/>
        <w:rPr/>
      </w:pPr>
      <w:r>
        <w:rPr/>
        <w:t> </w:t>
      </w:r>
    </w:p>
    <w:p>
      <w:pPr>
        <w:pStyle w:val="TextBody"/>
        <w:bidi w:val="0"/>
        <w:jc w:val="center"/>
        <w:rPr>
          <w:rFonts w:ascii="Arial" w:hAnsi="Arial"/>
          <w:b/>
          <w:color w:val="000000"/>
          <w:sz w:val="22"/>
        </w:rPr>
      </w:pPr>
      <w:r>
        <w:rPr>
          <w:rFonts w:ascii="Arial" w:hAnsi="Arial"/>
          <w:b/>
          <w:color w:val="000000"/>
          <w:sz w:val="22"/>
        </w:rPr>
        <w:t>Segment Revenue, Gross Profit, and Gross Profit Margin</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431"/>
        <w:gridCol w:w="246"/>
        <w:gridCol w:w="217"/>
        <w:gridCol w:w="769"/>
        <w:gridCol w:w="184"/>
        <w:gridCol w:w="273"/>
        <w:gridCol w:w="217"/>
        <w:gridCol w:w="669"/>
        <w:gridCol w:w="166"/>
        <w:gridCol w:w="246"/>
        <w:gridCol w:w="931"/>
        <w:gridCol w:w="246"/>
        <w:gridCol w:w="198"/>
        <w:gridCol w:w="701"/>
        <w:gridCol w:w="168"/>
        <w:gridCol w:w="249"/>
        <w:gridCol w:w="198"/>
        <w:gridCol w:w="701"/>
        <w:gridCol w:w="166"/>
        <w:gridCol w:w="246"/>
        <w:gridCol w:w="983"/>
      </w:tblGrid>
      <w:tr>
        <w:trPr/>
        <w:tc>
          <w:tcPr>
            <w:tcW w:w="24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8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Consumer Payments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93,730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168,798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19%</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Business Payments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14,478</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27,469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25%</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 xml:space="preserve">Elimination of intersegment revenues </w:t>
            </w:r>
            <w:r>
              <w:rPr>
                <w:rFonts w:ascii="Times New Roman" w:hAnsi="Times New Roman"/>
                <w:color w:val="000000"/>
                <w:sz w:val="12"/>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(7,503</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(14,768</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100,705</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75,626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b/>
                <w:color w:val="000000"/>
                <w:sz w:val="20"/>
              </w:rPr>
            </w:pPr>
            <w:r>
              <w:rPr>
                <w:rFonts w:ascii="Times New Roman" w:hAnsi="Times New Roman"/>
                <w:b/>
                <w:color w:val="000000"/>
                <w:sz w:val="20"/>
              </w:rPr>
              <w:t>33%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181,499</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152,951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Gross profit </w:t>
            </w:r>
            <w:r>
              <w:rPr>
                <w:rFonts w:ascii="Times New Roman" w:hAnsi="Times New Roman"/>
                <w:b/>
                <w:color w:val="000000"/>
                <w:sz w:val="12"/>
              </w:rPr>
              <w:t>(2)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Consumer Payments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68,015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23%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128,297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14%</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Business Payments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18,584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23%</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 xml:space="preserve">Elimination of intersegment revenues </w:t>
            </w:r>
            <w:r>
              <w:rPr>
                <w:rFonts w:ascii="Times New Roman" w:hAnsi="Times New Roman"/>
                <w:color w:val="000000"/>
                <w:sz w:val="12"/>
              </w:rPr>
              <w:t>(1)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(7,503</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(14,768</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 gross profit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70,626</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57,222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b/>
                <w:color w:val="000000"/>
                <w:sz w:val="20"/>
              </w:rPr>
            </w:pPr>
            <w:r>
              <w:rPr>
                <w:rFonts w:ascii="Times New Roman" w:hAnsi="Times New Roman"/>
                <w:b/>
                <w:color w:val="000000"/>
                <w:sz w:val="20"/>
              </w:rPr>
              <w:t>23%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132,113</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115,883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b/>
                <w:color w:val="000000"/>
                <w:sz w:val="20"/>
              </w:rPr>
            </w:pPr>
            <w:r>
              <w:rPr>
                <w:rFonts w:ascii="Times New Roman" w:hAnsi="Times New Roman"/>
                <w:b/>
                <w:color w:val="000000"/>
                <w:sz w:val="20"/>
              </w:rPr>
              <w:t>14%</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Total gross profit margin </w:t>
            </w:r>
            <w:r>
              <w:rPr>
                <w:rFonts w:ascii="Times New Roman" w:hAnsi="Times New Roman"/>
                <w:b/>
                <w:color w:val="000000"/>
                <w:sz w:val="12"/>
              </w:rPr>
              <w:t>(3)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70%</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bl>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Elimination of intersegment revenues represents revenue eliminations between business units within the Consumer Payments segment and Business Payments segment, as well as eliminations of intersegment revenues for consolidation purpose.</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Gross profit represents revenue less costs of services (exclusive of depreciation and amortization).</w:t>
      </w:r>
    </w:p>
    <w:p>
      <w:pPr>
        <w:pStyle w:val="TextBody"/>
        <w:bidi w:val="0"/>
        <w:spacing w:before="0" w:after="0"/>
        <w:jc w:val="both"/>
        <w:rPr>
          <w:rFonts w:ascii="Arial" w:hAnsi="Arial"/>
          <w:color w:val="000000"/>
          <w:sz w:val="20"/>
        </w:rPr>
      </w:pPr>
      <w:r>
        <w:rPr>
          <w:rFonts w:ascii="Arial" w:hAnsi="Arial"/>
          <w:color w:val="000000"/>
          <w:sz w:val="20"/>
        </w:rPr>
        <w:t>(3)</w:t>
      </w:r>
    </w:p>
    <w:p>
      <w:pPr>
        <w:pStyle w:val="TextBody"/>
        <w:bidi w:val="0"/>
        <w:jc w:val="both"/>
        <w:rPr>
          <w:rFonts w:ascii="Arial" w:hAnsi="Arial"/>
          <w:color w:val="000000"/>
          <w:sz w:val="20"/>
        </w:rPr>
      </w:pPr>
      <w:r>
        <w:rPr>
          <w:rFonts w:ascii="Arial" w:hAnsi="Arial"/>
          <w:color w:val="000000"/>
          <w:sz w:val="20"/>
        </w:rPr>
        <w:t>Gross profit margin represents total gross profit / total revenue.</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Conference Call</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2"/>
        </w:rPr>
        <w:t xml:space="preserve">REPAY will host a conference call to discuss second quarter financial results today, August 10, 2026 at 5:00 pm ET. Hosting the call will be John Morris, CEO, and Robert Houser, CFO. The call will be webcast live from REPAY’s investor relations website at </w:t>
      </w:r>
      <w:r>
        <w:rPr>
          <w:rFonts w:ascii="Arial" w:hAnsi="Arial"/>
          <w:sz w:val="22"/>
        </w:rPr>
        <w:t>https://investors.repay.com/investor-relations</w:t>
      </w:r>
      <w:r>
        <w:rPr>
          <w:rFonts w:ascii="Arial" w:hAnsi="Arial"/>
          <w:color w:val="000000"/>
          <w:sz w:val="22"/>
        </w:rPr>
        <w:t>. The conference call can also be accessed live over the phone by dialing (877) 407-3982, or for international callers (201) 493-6780. A replay will be available one hour after the call and can be accessed by dialing (844) 512-2921 or (412) 317-6671 for international callers; the conference ID is 13761472. The replay will be available at</w:t>
      </w:r>
      <w:r>
        <w:rPr>
          <w:rFonts w:ascii="Times New Roman" w:hAnsi="Times New Roman"/>
          <w:sz w:val="20"/>
        </w:rPr>
        <w:t xml:space="preserve"> </w:t>
      </w:r>
      <w:r>
        <w:rPr>
          <w:rFonts w:ascii="Arial" w:hAnsi="Arial"/>
          <w:sz w:val="22"/>
        </w:rPr>
        <w:t>https://investors.repay.com/investor-relations</w:t>
      </w:r>
      <w:r>
        <w:rPr>
          <w:rFonts w:ascii="Arial" w:hAnsi="Arial"/>
          <w:color w:val="000000"/>
          <w:sz w:val="22"/>
        </w:rPr>
        <w:t>.</w:t>
      </w:r>
    </w:p>
    <w:p>
      <w:pPr>
        <w:pStyle w:val="TextBody"/>
        <w:bidi w:val="0"/>
        <w:jc w:val="both"/>
        <w:rPr/>
      </w:pPr>
      <w:r>
        <w:rPr/>
        <w:t> </w:t>
      </w:r>
    </w:p>
    <w:p>
      <w:pPr>
        <w:pStyle w:val="TextBody"/>
        <w:bidi w:val="0"/>
        <w:jc w:val="both"/>
        <w:rPr>
          <w:rFonts w:ascii="Arial" w:hAnsi="Arial"/>
          <w:b/>
          <w:color w:val="080808"/>
          <w:sz w:val="22"/>
        </w:rPr>
      </w:pPr>
      <w:r>
        <w:rPr>
          <w:rFonts w:ascii="Arial" w:hAnsi="Arial"/>
          <w:b/>
          <w:color w:val="080808"/>
          <w:sz w:val="22"/>
        </w:rPr>
        <w:t>Non-GAAP Financial Measures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2"/>
        </w:rPr>
        <w:t>This report includes certain non-GAAP financial measures that management uses to evaluate the Company’s operating business, measure performance, and make strategic decisions. Adjusted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2"/>
        </w:rPr>
        <w:t>EBITDA is a non-GAAP financial measure that represents net income prior to interest expense, tax expense, depreciation and amortization, as adjusted to add back certain charges deemed to not be part of normal operating expenses, non-cash charges and/or non-recurring charges, such as gain on extinguishment of debt, non-cash impairment loss, non-cash change in fair value of assets and liabilities, share-based compensation charges, transaction expenses, restructuring and other strategic initiative costs, loss on business disposition and other non-recurring charges. Adjusted EBITDA margin is a non-GAAP financial measure that represents Adjusted EBITDA divided by GAAP revenue. Adjusted Net Income is a non-GAAP financial measure that represents net income prior to amortization of acquisition-related intangibles, as adjusted to add back certain charges deemed to not be part of normal operating expenses, such as non-cash impairment loss, non-cash change in fair value of assets and liabilities, share-based compensation expense, transaction expenses, restructuring and other strategic initiative costs, other non-recurring charges, non-cash interest expense and net of tax effect associated with these adjustments. Adjusted Net Income is adjusted to exclude amortization of all acquisition-related intangibles as such amounts are inconsistent in amount and frequency and are significantly impacted by the timing and/or size of acquisitions. Management believes that the adjustment of acquisition-related intangible amortization supplements GAAP financial measures because it allows for greater comparability of operating performance. Although REPAY excludes amortization from acquisition-related intangibles from its non-GAAP expenses, management believes that it is important for investors to understand that such intangibles were recorded as part of purchase accounting and contribute to revenue generation. Adjusted Net Income per share is a non-GAAP financial measure that represents Adjusted Net Income divided by the weighted average number of shares of Class A common stock outstanding (on an as-converted basis assuming conversion of the outstanding units exchangeable for shares of Class A common stock) for the three and six months ended June 30, 2026 and 2025 (excluding shares subject to forfeiture). Free Cash Flow is a non-GAAP financial measure that represents net cash flow provided by operating activities less total capital expenditures. Free Cash Flow Conversion represents Free Cash Flow divided by Adjusted EBITDA. Adjusted Free Cash Flow represents Free Cash Flow plus technology, merger and integration costs. Adjusted Free Cash Flow Conversion represents Adjusted Free Cash Flow divided by Adjusted EBITDA. Organic revenue growth represents year-over-year revenue growth that excludes incremental revenue attributable to acquisitions and dispositions made in the applicable prior period or any subsequent period. Normalized organic revenue growth represents year-over-year organic revenue growth that excludes incremental gross profit attributable to political media spending associated with the 2026 election cycle in our media payments business. REPAY believes that Adjusted EBITDA, Adjusted EBITDA margin, Adjusted Net Income, Adjusted Net Income per share, Free Cash Flow, Free Cash Flow Conversion, Adjusted Free Cash Flow, Adjusted Free Cash Flow Conversion, organic revenue growth and normalized organic revenue growth provide useful information to investors and others in understanding and evaluating its operating results in the same manner as management. However, these non-GAAP financial measures are not financial measures calculated in accordance with GAAP and should not be considered as a substitute for net income, operating profit, net cash provided by operating activities, or any other operating performance measure calculated in accordance with GAAP. Using these non-GAAP financial measures to analyze REPAY’s business has material limitations because the calculations are based on the subjective determination of management regarding the nature and classification of events and circumstances that investors may find significant. In addition, although other companies in REPAY’s industry may report measures titled as the same or similar measures, such non-GAAP financial measures may be calculated differently from how REPAY calculates its non-GAAP financial measures, which reduces their overall usefulness as comparative measures. Because of these limitations, you should consider REPAY’s non-GAAP financial measures alongside other financial performance measures, including net income, net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2"/>
        </w:rPr>
      </w:pPr>
      <w:r>
        <w:rPr>
          <w:rFonts w:ascii="Arial" w:hAnsi="Arial"/>
          <w:color w:val="000000"/>
          <w:sz w:val="22"/>
        </w:rPr>
        <w:t>cash provided by operating activities and REPAY’s other financial results presented in accordance with GAAP.</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Forward-Looking Statements</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This communication contains “forward-looking statements” within the meaning of the Private Securities Litigation Reform Act of 1995. Such statements include, but are not limited to, statements about future financial and operating results, including 2026 outlook, REPAY’s plans, objectives, expectations and intentions with respect to future operations, products and services; and other statements identified by words such as “guidance,” “will likely result,” “are expected to,” “will continue,” “should,” “is anticipated,” “estimated,” “believe,” “intend,” “plan,” “projection,” “outlook” or words of similar meaning. These forward-looking statements include, but are not limited to, REPAY’s market and growth opportunities, REPAY’s business strategy and the plans and objectives of management for future operations and the allocation of capital. Such forward-looking statements are based upon the current beliefs and expectations of REPAY’s management and are inherently subject to significant business, economic and competitive uncertainties and contingencies, many of which are difficult to predict and generally beyond REPAY’s control.</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In addition to factors disclosed in REPAY’s reports filed with the U.S. Securities and Exchange Commission, including its Annual Report on Form 10-K for the year ended December 31, 2025 and those identified elsewhere in this communication, the following factors, among others, could cause actual results and the timing of events to differ materially from the anticipated results or other expectations expressed in the forward-looking statements: the inability to integrate and/or realize the benefits of the KUBRA transaction, including expected synergies; ; that the KUBRA acquisition could disrupt the Company’s relationships with customers, employees or other business partners; the impact, cost and effect of actions by activist stockholders; the risk that our stockholder rights plan may delay, discourage or prevent a change of control or acquisition of the Company, even if such action may be considered beneficial by some stockholders; exposure to economic conditions and political risk affecting the consumer loan market, the receivables management industry, the utilities industry and consumer and commercial spending, including bank failures or other adverse events affecting financial institutions, inflationary pressures, evolving U.S. trade policies or general economic slowdown; changes in the payment processing market in which REPAY competes, including with respect to its competitive landscape, technology evolution or regulatory changes; changes in the vertical markets that REPAY targets, including the regulatory environment applicable to REPAY’s clients; the ability to retain, develop and hire key personnel; risks relating to REPAY’s relationships within the payment ecosystem; risk that REPAY may not be able to execute its growth strategies, including identifying and executing acquisitions; risks relating to data security; changes in accounting policies applicable to REPAY and the risk that REPAY may not be able to maintain effective internal controls.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2"/>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All information set forth herein speaks only as of the date hereof in the case of information about REPAY or the date of such information in the case of information from persons other than REPAY, and REPAY disclaims any intention or obligation to update any forward-looking statements as a result of developments occurring after the date of this communication. Forecasts and estimates regarding REPAY’s industry and end markets are based on sources it believes to be reliable, however there can be no assurance these forecasts and estimates will prove accurate in whole or in part. Pro forma,</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2"/>
        </w:rPr>
      </w:pPr>
      <w:r>
        <w:rPr>
          <w:rFonts w:ascii="Arial" w:hAnsi="Arial"/>
          <w:color w:val="000000"/>
          <w:sz w:val="22"/>
        </w:rPr>
        <w:t>projected and estimated numbers are used for illustrative purpose only, are not forecasts and may not reflect actual results.</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About REPAY</w:t>
      </w:r>
    </w:p>
    <w:p>
      <w:pPr>
        <w:pStyle w:val="TextBody"/>
        <w:bidi w:val="0"/>
        <w:jc w:val="both"/>
        <w:rPr/>
      </w:pPr>
      <w:r>
        <w:rPr/>
        <w:t> </w:t>
      </w:r>
    </w:p>
    <w:p>
      <w:pPr>
        <w:pStyle w:val="TextBody"/>
        <w:bidi w:val="0"/>
        <w:jc w:val="left"/>
        <w:rPr>
          <w:rFonts w:ascii="Arial" w:hAnsi="Arial"/>
          <w:color w:val="000000"/>
          <w:sz w:val="22"/>
        </w:rPr>
      </w:pPr>
      <w:r>
        <w:rPr>
          <w:rFonts w:ascii="Arial" w:hAnsi="Arial"/>
          <w:color w:val="000000"/>
          <w:sz w:val="22"/>
        </w:rPr>
        <w:t>REPAY provides integrated payment processing solutions to verticals that have specific transaction processing needs. REPAY’s proprietary, integrated payment technology provides a comprehensive end-to-end platform offering digital payments, bill design &amp; presentment, and communication services for clients, while enhancing the overall experience for consumers and businesses.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2"/>
        </w:rPr>
        <w:t>Contacts</w:t>
      </w:r>
      <w:r>
        <w:rPr>
          <w:rFonts w:ascii="Times New Roman" w:hAnsi="Times New Roman"/>
          <w:color w:val="000000"/>
          <w:sz w:val="20"/>
        </w:rPr>
        <w:t xml:space="preserve"> </w:t>
      </w:r>
    </w:p>
    <w:p>
      <w:pPr>
        <w:pStyle w:val="TextBody"/>
        <w:bidi w:val="0"/>
        <w:jc w:val="both"/>
        <w:rPr>
          <w:rFonts w:ascii="Arial" w:hAnsi="Arial"/>
          <w:color w:val="000000"/>
          <w:sz w:val="22"/>
        </w:rPr>
      </w:pPr>
      <w:r>
        <w:rPr>
          <w:rFonts w:ascii="Arial" w:hAnsi="Arial"/>
          <w:color w:val="000000"/>
          <w:sz w:val="22"/>
        </w:rPr>
        <w:t>Investor Relations Contact for REPAY:</w:t>
      </w:r>
    </w:p>
    <w:p>
      <w:pPr>
        <w:pStyle w:val="TextBody"/>
        <w:bidi w:val="0"/>
        <w:jc w:val="both"/>
        <w:rPr>
          <w:rFonts w:ascii="Arial" w:hAnsi="Arial"/>
          <w:color w:val="0563C1"/>
          <w:sz w:val="22"/>
        </w:rPr>
      </w:pPr>
      <w:r>
        <w:rPr>
          <w:rFonts w:ascii="Arial" w:hAnsi="Arial"/>
          <w:color w:val="0563C1"/>
          <w:sz w:val="22"/>
        </w:rPr>
        <w:t>ir@repay.com</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Media Relations Contact for REPAY:</w:t>
      </w:r>
    </w:p>
    <w:p>
      <w:pPr>
        <w:pStyle w:val="TextBody"/>
        <w:bidi w:val="0"/>
        <w:jc w:val="both"/>
        <w:rPr>
          <w:rFonts w:ascii="Arial" w:hAnsi="Arial"/>
          <w:color w:val="000000"/>
          <w:sz w:val="22"/>
        </w:rPr>
      </w:pPr>
      <w:r>
        <w:rPr>
          <w:rFonts w:ascii="Arial" w:hAnsi="Arial"/>
          <w:color w:val="000000"/>
          <w:sz w:val="22"/>
        </w:rPr>
        <w:t>Kristen Hoyman</w:t>
      </w:r>
    </w:p>
    <w:p>
      <w:pPr>
        <w:pStyle w:val="TextBody"/>
        <w:bidi w:val="0"/>
        <w:jc w:val="both"/>
        <w:rPr>
          <w:rFonts w:ascii="Arial" w:hAnsi="Arial"/>
          <w:color w:val="000000"/>
          <w:sz w:val="22"/>
        </w:rPr>
      </w:pPr>
      <w:r>
        <w:rPr>
          <w:rFonts w:ascii="Arial" w:hAnsi="Arial"/>
          <w:color w:val="000000"/>
          <w:sz w:val="22"/>
        </w:rPr>
        <w:t>(404) 637-1665</w:t>
      </w:r>
    </w:p>
    <w:p>
      <w:pPr>
        <w:pStyle w:val="TextBody"/>
        <w:bidi w:val="0"/>
        <w:jc w:val="both"/>
        <w:rPr>
          <w:rFonts w:ascii="Arial" w:hAnsi="Arial"/>
          <w:color w:val="0563C1"/>
          <w:sz w:val="22"/>
        </w:rPr>
      </w:pPr>
      <w:r>
        <w:rPr>
          <w:rFonts w:ascii="Arial" w:hAnsi="Arial"/>
          <w:color w:val="0563C1"/>
          <w:sz w:val="22"/>
        </w:rPr>
        <w:t>khoyman@repay.com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Arial" w:hAnsi="Arial"/>
          <w:b/>
          <w:color w:val="000000"/>
          <w:sz w:val="22"/>
        </w:rPr>
      </w:pPr>
      <w:r>
        <w:rPr>
          <w:rFonts w:ascii="Arial" w:hAnsi="Arial"/>
          <w:b/>
          <w:color w:val="000000"/>
          <w:sz w:val="22"/>
        </w:rPr>
        <w:t>Condensed Consolidated Statements of Operations</w:t>
      </w:r>
    </w:p>
    <w:p>
      <w:pPr>
        <w:pStyle w:val="TextBody"/>
        <w:bidi w:val="0"/>
        <w:jc w:val="center"/>
        <w:rPr>
          <w:rFonts w:ascii="Arial" w:hAnsi="Arial"/>
          <w:b/>
          <w:color w:val="000000"/>
          <w:sz w:val="22"/>
        </w:rPr>
      </w:pPr>
      <w:r>
        <w:rPr>
          <w:rFonts w:ascii="Arial" w:hAnsi="Arial"/>
          <w:b/>
          <w:color w:val="000000"/>
          <w:sz w:val="22"/>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464"/>
        <w:gridCol w:w="146"/>
        <w:gridCol w:w="196"/>
        <w:gridCol w:w="916"/>
        <w:gridCol w:w="166"/>
        <w:gridCol w:w="146"/>
        <w:gridCol w:w="196"/>
        <w:gridCol w:w="916"/>
        <w:gridCol w:w="166"/>
        <w:gridCol w:w="146"/>
        <w:gridCol w:w="196"/>
        <w:gridCol w:w="916"/>
        <w:gridCol w:w="166"/>
        <w:gridCol w:w="146"/>
        <w:gridCol w:w="196"/>
        <w:gridCol w:w="916"/>
        <w:gridCol w:w="211"/>
      </w:tblGrid>
      <w:tr>
        <w:trPr/>
        <w:tc>
          <w:tcPr>
            <w:tcW w:w="4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100,705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75,626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181,499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152,951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Costs of services (exclusive of depreciation and amortization shown separately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Impairment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103,781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103,962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180,530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184,763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261,475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(108,524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fair value of tax receivable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Loss before 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(109,329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(117,949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(108,032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(116,200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Net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 attributable to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(10,986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(102,251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(20,926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(110,198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Weighted-average shares of Class A common stock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83,285,379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88,647,823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82,903,732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88,825,785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Loss per Class A share attributable to the Company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2"/>
        </w:rPr>
      </w:pPr>
      <w:r>
        <w:rPr>
          <w:rFonts w:ascii="Arial" w:hAnsi="Arial"/>
          <w:b/>
          <w:color w:val="000000"/>
          <w:sz w:val="22"/>
        </w:rPr>
        <w:t>Condensed Consolidated Balance Sheets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96"/>
        <w:gridCol w:w="146"/>
        <w:gridCol w:w="273"/>
        <w:gridCol w:w="1153"/>
        <w:gridCol w:w="166"/>
        <w:gridCol w:w="146"/>
        <w:gridCol w:w="232"/>
        <w:gridCol w:w="980"/>
        <w:gridCol w:w="213"/>
      </w:tblGrid>
      <w:tr>
        <w:trPr/>
        <w:tc>
          <w:tcPr>
            <w:tcW w:w="6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 (Unaudited)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115,692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29,327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33,172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18,641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212,976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196,832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Noncurrent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10,633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329,844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474,512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Finance lease 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173,028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1,394,894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1,002,917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1,607,870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1,199,749</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25,177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52,959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maturities of 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146,477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tax receivable agreement ($0 and $1,555 held for related parties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13,702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146,900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240,648</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280,065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Noncurrent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receivable agreement, net of current portion ($8,129 and $20,748 held for related parties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187,239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991,707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477,319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1,138,607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717,967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Class A common stock, $0.0001 par value; 2,000,000,000 shares authorized; 96,268,848 issued and 82,892,959 outstanding as of June 30, 2026; 95,138,635 issued and 81,762,746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Class V common stock, $0.0001 par value; 1,000 shares authorized and 100 shares issued and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Treasury stock, 13,375,889 shares repurchased as of both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(92,025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1,166,998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(611,476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(590,550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Repay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472,543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484,431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(2,649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469,263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481,782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1,607,870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1,199,749</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2"/>
        </w:rPr>
      </w:pPr>
      <w:r>
        <w:rPr>
          <w:rFonts w:ascii="Arial" w:hAnsi="Arial"/>
          <w:b/>
          <w:color w:val="000000"/>
          <w:sz w:val="22"/>
        </w:rPr>
        <w:t>Condensed Consolidated Statements of Cash Flows</w:t>
      </w:r>
    </w:p>
    <w:p>
      <w:pPr>
        <w:pStyle w:val="TextBody"/>
        <w:bidi w:val="0"/>
        <w:jc w:val="center"/>
        <w:rPr>
          <w:rFonts w:ascii="Arial" w:hAnsi="Arial"/>
          <w:b/>
          <w:color w:val="000000"/>
          <w:sz w:val="22"/>
        </w:rPr>
      </w:pPr>
      <w:r>
        <w:rPr>
          <w:rFonts w:ascii="Arial" w:hAnsi="Arial"/>
          <w:b/>
          <w:color w:val="000000"/>
          <w:sz w:val="22"/>
        </w:rPr>
        <w:t>(Unaudited)</w:t>
      </w:r>
    </w:p>
    <w:p>
      <w:pPr>
        <w:pStyle w:val="TextBody"/>
        <w:bidi w:val="0"/>
        <w:jc w:val="center"/>
        <w:rPr/>
      </w:pPr>
      <w:r>
        <w:rPr/>
        <w:t> </w:t>
      </w:r>
    </w:p>
    <w:tbl>
      <w:tblPr>
        <w:tblW w:w="8756" w:type="dxa"/>
        <w:jc w:val="left"/>
        <w:tblInd w:w="0" w:type="dxa"/>
        <w:tblLayout w:type="fixed"/>
        <w:tblCellMar>
          <w:top w:w="28" w:type="dxa"/>
          <w:left w:w="28" w:type="dxa"/>
          <w:bottom w:w="28" w:type="dxa"/>
          <w:right w:w="28" w:type="dxa"/>
        </w:tblCellMar>
      </w:tblPr>
      <w:tblGrid>
        <w:gridCol w:w="5766"/>
        <w:gridCol w:w="146"/>
        <w:gridCol w:w="198"/>
        <w:gridCol w:w="761"/>
        <w:gridCol w:w="168"/>
        <w:gridCol w:w="147"/>
        <w:gridCol w:w="198"/>
        <w:gridCol w:w="761"/>
        <w:gridCol w:w="611"/>
      </w:tblGrid>
      <w:tr>
        <w:trPr/>
        <w:tc>
          <w:tcPr>
            <w:tcW w:w="5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(21,563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53,176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50,775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8,393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Fair value change in tax receivable agreement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Impairment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Change in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prepaid expenses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lease ROU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(7,976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accrued expenses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57,062</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35,568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(22,511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Capitalized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(22,003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of KUBRA, net of cash and restricted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(348,150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(394,969</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(21,002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610,000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on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(256,508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(29,372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for tax withholding related to shares vesting under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Treasury shares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Tax Receivable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(16,337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309,707</w:t>
            </w:r>
          </w:p>
        </w:tc>
        <w:tc>
          <w:tcPr>
            <w:tcW w:w="16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(42,295</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(28,200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(27,729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155,652</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236,709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127,452</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208,980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during the period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8,094</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taxes (net of refunds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2"/>
        </w:rPr>
        <w:t>Reconciliation of GAAP Net Income (Loss) to Non-GAAP Adjusted EBITDA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2"/>
        </w:rPr>
        <w:t>For the Three Months Ended June 30, 2026 and 2025</w:t>
      </w:r>
      <w:r>
        <w:rPr>
          <w:rFonts w:ascii="Times New Roman" w:hAnsi="Times New Roman"/>
          <w:color w:val="000000"/>
          <w:sz w:val="20"/>
        </w:rPr>
        <w:t xml:space="preserve"> </w:t>
      </w:r>
    </w:p>
    <w:p>
      <w:pPr>
        <w:pStyle w:val="TextBody"/>
        <w:bidi w:val="0"/>
        <w:jc w:val="center"/>
        <w:rPr>
          <w:rFonts w:ascii="Arial" w:hAnsi="Arial"/>
          <w:b/>
          <w:color w:val="000000"/>
          <w:sz w:val="22"/>
        </w:rPr>
      </w:pPr>
      <w:r>
        <w:rPr>
          <w:rFonts w:ascii="Arial" w:hAnsi="Arial"/>
          <w:b/>
          <w:color w:val="000000"/>
          <w:sz w:val="22"/>
        </w:rPr>
        <w:t>(Unaudited)</w:t>
      </w:r>
    </w:p>
    <w:p>
      <w:pPr>
        <w:pStyle w:val="TextBody"/>
        <w:bidi w:val="0"/>
        <w:jc w:val="center"/>
        <w:rPr/>
      </w:pPr>
      <w:r>
        <w:rPr/>
        <w:t> </w:t>
      </w:r>
    </w:p>
    <w:tbl>
      <w:tblPr>
        <w:tblW w:w="9026" w:type="dxa"/>
        <w:jc w:val="left"/>
        <w:tblInd w:w="0" w:type="dxa"/>
        <w:tblLayout w:type="fixed"/>
        <w:tblCellMar>
          <w:top w:w="28" w:type="dxa"/>
          <w:left w:w="28" w:type="dxa"/>
          <w:bottom w:w="28" w:type="dxa"/>
          <w:right w:w="28" w:type="dxa"/>
        </w:tblCellMar>
      </w:tblPr>
      <w:tblGrid>
        <w:gridCol w:w="6226"/>
        <w:gridCol w:w="223"/>
        <w:gridCol w:w="787"/>
        <w:gridCol w:w="189"/>
        <w:gridCol w:w="166"/>
        <w:gridCol w:w="223"/>
        <w:gridCol w:w="855"/>
        <w:gridCol w:w="166"/>
        <w:gridCol w:w="191"/>
      </w:tblGrid>
      <w:tr>
        <w:trPr/>
        <w:tc>
          <w:tcPr>
            <w:tcW w:w="622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100,705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75,626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Costs of services (exclusive of depreciation and amortization shown separately below)</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30,079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46,247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27,636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Impairment loss</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103,962</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from operations</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(3,257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income (expense)</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(7,983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debt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tax receivable liability</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(loss), net</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 (expense)</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(10,937</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before income tax benefit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(14,194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(109,329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2,665</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(11,529</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(108,032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Add:</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7,983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Depreciation and amortization </w:t>
            </w:r>
            <w:r>
              <w:rPr>
                <w:rFonts w:ascii="Times New Roman" w:hAnsi="Times New Roman"/>
                <w:color w:val="000000"/>
                <w:sz w:val="12"/>
              </w:rPr>
              <w:t>(a)</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27,636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EBITDA</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21,136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Non-cash impairment loss </w:t>
            </w:r>
            <w:r>
              <w:rPr>
                <w:rFonts w:ascii="Times New Roman" w:hAnsi="Times New Roman"/>
                <w:color w:val="000000"/>
                <w:sz w:val="12"/>
              </w:rPr>
              <w:t>(b)</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Loss on extinguishment of debt </w:t>
            </w:r>
            <w:r>
              <w:rPr>
                <w:rFonts w:ascii="Times New Roman" w:hAnsi="Times New Roman"/>
                <w:color w:val="000000"/>
                <w:sz w:val="12"/>
              </w:rPr>
              <w:t>(c)</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Non-cash change in fair value of assets and liabilities </w:t>
            </w:r>
            <w:r>
              <w:rPr>
                <w:rFonts w:ascii="Times New Roman" w:hAnsi="Times New Roman"/>
                <w:color w:val="000000"/>
                <w:sz w:val="12"/>
              </w:rPr>
              <w:t>(d)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Share-based compensation expense </w:t>
            </w:r>
            <w:r>
              <w:rPr>
                <w:rFonts w:ascii="Times New Roman" w:hAnsi="Times New Roman"/>
                <w:color w:val="000000"/>
                <w:sz w:val="12"/>
              </w:rPr>
              <w:t>(e)</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Transaction expenses </w:t>
            </w:r>
            <w:r>
              <w:rPr>
                <w:rFonts w:ascii="Times New Roman" w:hAnsi="Times New Roman"/>
                <w:color w:val="000000"/>
                <w:sz w:val="12"/>
              </w:rPr>
              <w:t>(f)</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Restructuring and other strategic initiative costs </w:t>
            </w:r>
            <w:r>
              <w:rPr>
                <w:rFonts w:ascii="Times New Roman" w:hAnsi="Times New Roman"/>
                <w:color w:val="000000"/>
                <w:sz w:val="12"/>
              </w:rPr>
              <w:t>(g)</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non-recurring charges </w:t>
            </w:r>
            <w:r>
              <w:rPr>
                <w:rFonts w:ascii="Times New Roman" w:hAnsi="Times New Roman"/>
                <w:color w:val="000000"/>
                <w:sz w:val="12"/>
              </w:rPr>
              <w:t>(h)</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2,015</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EBITDA</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36,301</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31,811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22"/>
        </w:rPr>
        <w:t>Quarterly Reconciliation of GAAP Net Income (Loss) to Non-GAAP Adjusted EBITDA</w:t>
      </w:r>
      <w:r>
        <w:rPr>
          <w:rFonts w:ascii="Times New Roman" w:hAnsi="Times New Roman"/>
          <w:color w:val="000000"/>
          <w:sz w:val="20"/>
        </w:rPr>
        <w:t xml:space="preserve"> </w:t>
      </w:r>
    </w:p>
    <w:p>
      <w:pPr>
        <w:pStyle w:val="TextBody"/>
        <w:bidi w:val="0"/>
        <w:jc w:val="center"/>
        <w:rPr>
          <w:rFonts w:ascii="Arial" w:hAnsi="Arial"/>
          <w:b/>
          <w:color w:val="000000"/>
          <w:sz w:val="22"/>
        </w:rPr>
      </w:pPr>
      <w:r>
        <w:rPr>
          <w:rFonts w:ascii="Arial" w:hAnsi="Arial"/>
          <w:b/>
          <w:color w:val="000000"/>
          <w:sz w:val="22"/>
        </w:rPr>
        <w:t>(Unaudited)</w:t>
      </w:r>
    </w:p>
    <w:p>
      <w:pPr>
        <w:pStyle w:val="TextBody"/>
        <w:bidi w:val="0"/>
        <w:jc w:val="center"/>
        <w:rPr/>
      </w:pPr>
      <w:r>
        <w:rPr/>
        <w:t> </w:t>
      </w:r>
    </w:p>
    <w:tbl>
      <w:tblPr>
        <w:tblW w:w="9487" w:type="dxa"/>
        <w:jc w:val="left"/>
        <w:tblInd w:w="0" w:type="dxa"/>
        <w:tblLayout w:type="fixed"/>
        <w:tblCellMar>
          <w:top w:w="28" w:type="dxa"/>
          <w:left w:w="28" w:type="dxa"/>
          <w:bottom w:w="28" w:type="dxa"/>
          <w:right w:w="28" w:type="dxa"/>
        </w:tblCellMar>
      </w:tblPr>
      <w:tblGrid>
        <w:gridCol w:w="4066"/>
        <w:gridCol w:w="146"/>
        <w:gridCol w:w="393"/>
        <w:gridCol w:w="1212"/>
        <w:gridCol w:w="166"/>
        <w:gridCol w:w="146"/>
        <w:gridCol w:w="319"/>
        <w:gridCol w:w="1226"/>
        <w:gridCol w:w="166"/>
        <w:gridCol w:w="146"/>
        <w:gridCol w:w="295"/>
        <w:gridCol w:w="995"/>
        <w:gridCol w:w="21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(148,271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(10,034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Depreciation and amortization </w:t>
            </w:r>
            <w:r>
              <w:rPr>
                <w:rFonts w:ascii="Times New Roman" w:hAnsi="Times New Roman"/>
                <w:color w:val="00000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(120,881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20,968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Non-cash impairment loss </w:t>
            </w:r>
            <w:r>
              <w:rPr>
                <w:rFonts w:ascii="Times New Roman" w:hAnsi="Times New Roman"/>
                <w:color w:val="000000"/>
                <w:sz w:val="12"/>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(Gain) loss on extinguishment of debt </w:t>
            </w:r>
            <w:r>
              <w:rPr>
                <w:rFonts w:ascii="Times New Roman" w:hAnsi="Times New Roman"/>
                <w:color w:val="000000"/>
                <w:sz w:val="12"/>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Non-cash change in fair value of assets and liabilities </w:t>
            </w:r>
            <w:r>
              <w:rPr>
                <w:rFonts w:ascii="Times New Roman" w:hAnsi="Times New Roman"/>
                <w:color w:val="000000"/>
                <w:sz w:val="12"/>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Share-based compensation expense </w:t>
            </w:r>
            <w:r>
              <w:rPr>
                <w:rFonts w:ascii="Times New Roman" w:hAnsi="Times New Roman"/>
                <w:color w:val="000000"/>
                <w:sz w:val="12"/>
              </w:rPr>
              <w: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Transaction expenses </w:t>
            </w:r>
            <w:r>
              <w:rPr>
                <w:rFonts w:ascii="Times New Roman" w:hAnsi="Times New Roman"/>
                <w:color w:val="000000"/>
                <w:sz w:val="12"/>
              </w:rPr>
              <w:t>(f)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Restructuring and other strategic initiative costs </w:t>
            </w:r>
            <w:r>
              <w:rPr>
                <w:rFonts w:ascii="Times New Roman" w:hAnsi="Times New Roman"/>
                <w:color w:val="000000"/>
                <w:sz w:val="12"/>
              </w:rPr>
              <w:t>(g)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non-recurring charges </w:t>
            </w:r>
            <w:r>
              <w:rPr>
                <w:rFonts w:ascii="Times New Roman" w:hAnsi="Times New Roman"/>
                <w:color w:val="000000"/>
                <w:sz w:val="12"/>
              </w:rPr>
              <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31,202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32,401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34,362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2"/>
        </w:rPr>
        <w:t>Reconciliation of GAAP Net Income (Loss) to Non-GAAP Adjusted EBITDA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2"/>
        </w:rPr>
        <w:t>For the Six Months Ended June 30, 2026 and 2025</w:t>
      </w:r>
      <w:r>
        <w:rPr>
          <w:rFonts w:ascii="Times New Roman" w:hAnsi="Times New Roman"/>
          <w:color w:val="000000"/>
          <w:sz w:val="20"/>
        </w:rPr>
        <w:t xml:space="preserve"> </w:t>
      </w:r>
    </w:p>
    <w:p>
      <w:pPr>
        <w:pStyle w:val="TextBody"/>
        <w:bidi w:val="0"/>
        <w:jc w:val="center"/>
        <w:rPr>
          <w:rFonts w:ascii="Arial" w:hAnsi="Arial"/>
          <w:b/>
          <w:color w:val="000000"/>
          <w:sz w:val="22"/>
        </w:rPr>
      </w:pPr>
      <w:r>
        <w:rPr>
          <w:rFonts w:ascii="Arial" w:hAnsi="Arial"/>
          <w:b/>
          <w:color w:val="000000"/>
          <w:sz w:val="22"/>
        </w:rPr>
        <w:t>(Unaudited)</w:t>
      </w:r>
    </w:p>
    <w:p>
      <w:pPr>
        <w:pStyle w:val="TextBody"/>
        <w:bidi w:val="0"/>
        <w:jc w:val="left"/>
        <w:rPr/>
      </w:pPr>
      <w:r>
        <w:rPr/>
        <w:t> </w:t>
      </w:r>
    </w:p>
    <w:tbl>
      <w:tblPr>
        <w:tblW w:w="8816" w:type="dxa"/>
        <w:jc w:val="left"/>
        <w:tblInd w:w="0" w:type="dxa"/>
        <w:tblLayout w:type="fixed"/>
        <w:tblCellMar>
          <w:top w:w="28" w:type="dxa"/>
          <w:left w:w="28" w:type="dxa"/>
          <w:bottom w:w="28" w:type="dxa"/>
          <w:right w:w="28" w:type="dxa"/>
        </w:tblCellMar>
      </w:tblPr>
      <w:tblGrid>
        <w:gridCol w:w="6226"/>
        <w:gridCol w:w="204"/>
        <w:gridCol w:w="719"/>
        <w:gridCol w:w="172"/>
        <w:gridCol w:w="152"/>
        <w:gridCol w:w="204"/>
        <w:gridCol w:w="782"/>
        <w:gridCol w:w="166"/>
        <w:gridCol w:w="191"/>
      </w:tblGrid>
      <w:tr>
        <w:trPr/>
        <w:tc>
          <w:tcPr>
            <w:tcW w:w="62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181,499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152,951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Costs of services (exclusive of depreciation and amortization shown separately below)</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49,386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82,201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53,176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Impairment loss</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184,763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from operations</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(3,264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(108,524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income (expense)</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(11,827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debt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tax receivable liability</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(loss), net</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 (expense)</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(18,931</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before income tax benefit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(22,195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(117,949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(21,563</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(116,200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Add:</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11,827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Depreciation and amortization </w:t>
            </w:r>
            <w:r>
              <w:rPr>
                <w:rFonts w:ascii="Times New Roman" w:hAnsi="Times New Roman"/>
                <w:color w:val="000000"/>
                <w:sz w:val="12"/>
              </w:rPr>
              <w:t>(a)</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53,176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EBITDA</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42,104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(63,533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Non-cash impairment loss </w:t>
            </w:r>
            <w:r>
              <w:rPr>
                <w:rFonts w:ascii="Times New Roman" w:hAnsi="Times New Roman"/>
                <w:color w:val="000000"/>
                <w:sz w:val="12"/>
              </w:rPr>
              <w:t>(b)</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Loss on extinguishment of debt </w:t>
            </w:r>
            <w:r>
              <w:rPr>
                <w:rFonts w:ascii="Times New Roman" w:hAnsi="Times New Roman"/>
                <w:color w:val="000000"/>
                <w:sz w:val="12"/>
              </w:rPr>
              <w:t>(c)</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Non-cash change in fair value of assets and liabilities </w:t>
            </w:r>
            <w:r>
              <w:rPr>
                <w:rFonts w:ascii="Times New Roman" w:hAnsi="Times New Roman"/>
                <w:color w:val="000000"/>
                <w:sz w:val="12"/>
              </w:rPr>
              <w:t>(d)</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Share-based compensation expense </w:t>
            </w:r>
            <w:r>
              <w:rPr>
                <w:rFonts w:ascii="Times New Roman" w:hAnsi="Times New Roman"/>
                <w:color w:val="000000"/>
                <w:sz w:val="12"/>
              </w:rPr>
              <w:t>(e)</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Transaction expenses </w:t>
            </w:r>
            <w:r>
              <w:rPr>
                <w:rFonts w:ascii="Times New Roman" w:hAnsi="Times New Roman"/>
                <w:color w:val="000000"/>
                <w:sz w:val="12"/>
              </w:rPr>
              <w:t>(f)</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Restructuring and other strategic initiative costs </w:t>
            </w:r>
            <w:r>
              <w:rPr>
                <w:rFonts w:ascii="Times New Roman" w:hAnsi="Times New Roman"/>
                <w:color w:val="000000"/>
                <w:sz w:val="12"/>
              </w:rPr>
              <w:t>(g)</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non-recurring charges </w:t>
            </w:r>
            <w:r>
              <w:rPr>
                <w:rFonts w:ascii="Times New Roman" w:hAnsi="Times New Roman"/>
                <w:color w:val="000000"/>
                <w:sz w:val="12"/>
              </w:rPr>
              <w:t>(h)</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3,701</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EBITDA</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70,663</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64,986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2"/>
        </w:rPr>
        <w:t>Reconciliation of GAAP Net Income (Loss) to Non-GAAP Adjusted Net Income</w:t>
      </w:r>
      <w:r>
        <w:rPr>
          <w:rFonts w:ascii="Times New Roman" w:hAnsi="Times New Roman"/>
          <w:color w:val="000000"/>
          <w:sz w:val="20"/>
        </w:rPr>
        <w:t xml:space="preserve"> </w:t>
      </w:r>
    </w:p>
    <w:p>
      <w:pPr>
        <w:pStyle w:val="TextBody"/>
        <w:bidi w:val="0"/>
        <w:jc w:val="center"/>
        <w:rPr>
          <w:rFonts w:ascii="Arial" w:hAnsi="Arial"/>
          <w:b/>
          <w:color w:val="000000"/>
          <w:sz w:val="22"/>
        </w:rPr>
      </w:pPr>
      <w:r>
        <w:rPr>
          <w:rFonts w:ascii="Arial" w:hAnsi="Arial"/>
          <w:b/>
          <w:color w:val="000000"/>
          <w:sz w:val="22"/>
        </w:rPr>
        <w:t>For the Three Months Ended June 30, 2026 and 2025</w:t>
      </w:r>
    </w:p>
    <w:p>
      <w:pPr>
        <w:pStyle w:val="TextBody"/>
        <w:bidi w:val="0"/>
        <w:jc w:val="center"/>
        <w:rPr>
          <w:rFonts w:ascii="Arial" w:hAnsi="Arial"/>
          <w:b/>
          <w:color w:val="000000"/>
          <w:sz w:val="22"/>
        </w:rPr>
      </w:pPr>
      <w:r>
        <w:rPr>
          <w:rFonts w:ascii="Arial" w:hAnsi="Arial"/>
          <w:b/>
          <w:color w:val="000000"/>
          <w:sz w:val="22"/>
        </w:rPr>
        <w:t>(Unaudited)</w:t>
      </w:r>
    </w:p>
    <w:p>
      <w:pPr>
        <w:pStyle w:val="TextBody"/>
        <w:bidi w:val="0"/>
        <w:jc w:val="center"/>
        <w:rPr/>
      </w:pPr>
      <w:r>
        <w:rPr/>
        <w:t> </w:t>
      </w:r>
    </w:p>
    <w:tbl>
      <w:tblPr>
        <w:tblW w:w="9119" w:type="dxa"/>
        <w:jc w:val="left"/>
        <w:tblInd w:w="0" w:type="dxa"/>
        <w:tblLayout w:type="fixed"/>
        <w:tblCellMar>
          <w:top w:w="28" w:type="dxa"/>
          <w:left w:w="28" w:type="dxa"/>
          <w:bottom w:w="28" w:type="dxa"/>
          <w:right w:w="28" w:type="dxa"/>
        </w:tblCellMar>
      </w:tblPr>
      <w:tblGrid>
        <w:gridCol w:w="6226"/>
        <w:gridCol w:w="196"/>
        <w:gridCol w:w="916"/>
        <w:gridCol w:w="166"/>
        <w:gridCol w:w="146"/>
        <w:gridCol w:w="196"/>
        <w:gridCol w:w="916"/>
        <w:gridCol w:w="166"/>
        <w:gridCol w:w="191"/>
      </w:tblGrid>
      <w:tr>
        <w:trPr/>
        <w:tc>
          <w:tcPr>
            <w:tcW w:w="6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100,705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75,626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Costs of services (exclusive of depreciation and amortization shown separately below)</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Impairment loss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from operations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income (expense)</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tax receivable liability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(loss), net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 (expense)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before income tax benefit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(109,329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(11,529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(108,032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Add:</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Amortization of acquisition-related intangibles </w:t>
            </w:r>
            <w:r>
              <w:rPr>
                <w:rFonts w:ascii="Times New Roman" w:hAnsi="Times New Roman"/>
                <w:color w:val="000000"/>
                <w:sz w:val="12"/>
              </w:rPr>
              <w:t>(i)</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Non-cash impairment loss </w:t>
            </w:r>
            <w:r>
              <w:rPr>
                <w:rFonts w:ascii="Times New Roman" w:hAnsi="Times New Roman"/>
                <w:color w:val="000000"/>
                <w:sz w:val="12"/>
              </w:rPr>
              <w:t>(b)</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Loss on extinguishment of debt </w:t>
            </w:r>
            <w:r>
              <w:rPr>
                <w:rFonts w:ascii="Times New Roman" w:hAnsi="Times New Roman"/>
                <w:color w:val="000000"/>
                <w:sz w:val="12"/>
              </w:rPr>
              <w:t>(c)</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Non-cash change in fair value of assets and liabilities </w:t>
            </w:r>
            <w:r>
              <w:rPr>
                <w:rFonts w:ascii="Times New Roman" w:hAnsi="Times New Roman"/>
                <w:color w:val="000000"/>
                <w:sz w:val="12"/>
              </w:rPr>
              <w:t>(d)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Share-based compensation expense </w:t>
            </w:r>
            <w:r>
              <w:rPr>
                <w:rFonts w:ascii="Times New Roman" w:hAnsi="Times New Roman"/>
                <w:color w:val="000000"/>
                <w:sz w:val="12"/>
              </w:rPr>
              <w:t>(e)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Transaction expenses </w:t>
            </w:r>
            <w:r>
              <w:rPr>
                <w:rFonts w:ascii="Times New Roman" w:hAnsi="Times New Roman"/>
                <w:color w:val="000000"/>
                <w:sz w:val="12"/>
              </w:rPr>
              <w:t>(f)</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Restructuring and other strategic initiative costs </w:t>
            </w:r>
            <w:r>
              <w:rPr>
                <w:rFonts w:ascii="Times New Roman" w:hAnsi="Times New Roman"/>
                <w:color w:val="000000"/>
                <w:sz w:val="12"/>
              </w:rPr>
              <w:t>(g)</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non-recurring charges </w:t>
            </w:r>
            <w:r>
              <w:rPr>
                <w:rFonts w:ascii="Times New Roman" w:hAnsi="Times New Roman"/>
                <w:color w:val="000000"/>
                <w:sz w:val="12"/>
              </w:rPr>
              <w:t>(h)</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Non-cash interest expense </w:t>
            </w:r>
            <w:r>
              <w:rPr>
                <w:rFonts w:ascii="Times New Roman" w:hAnsi="Times New Roman"/>
                <w:color w:val="000000"/>
                <w:sz w:val="12"/>
              </w:rPr>
              <w:t>(j)</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Pro forma taxes at effective rate </w:t>
            </w:r>
            <w:r>
              <w:rPr>
                <w:rFonts w:ascii="Times New Roman" w:hAnsi="Times New Roman"/>
                <w:color w:val="000000"/>
                <w:sz w:val="12"/>
              </w:rPr>
              <w:t>(k)</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Net Income</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17,892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19,083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Shares of Class A common stock outstanding (on an as-converted basis) </w:t>
            </w:r>
            <w:r>
              <w:rPr>
                <w:rFonts w:ascii="Times New Roman" w:hAnsi="Times New Roman"/>
                <w:color w:val="000000"/>
                <w:sz w:val="12"/>
              </w:rPr>
              <w:t>(l)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88,571,262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93,937,366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Net Income per share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2"/>
        </w:rPr>
        <w:t>Reconciliation of GAAP Net Income (Loss) to Non-GAAP Adjusted Net Income</w:t>
      </w:r>
      <w:r>
        <w:rPr>
          <w:rFonts w:ascii="Times New Roman" w:hAnsi="Times New Roman"/>
          <w:color w:val="000000"/>
          <w:sz w:val="20"/>
        </w:rPr>
        <w:t xml:space="preserve"> </w:t>
      </w:r>
    </w:p>
    <w:p>
      <w:pPr>
        <w:pStyle w:val="TextBody"/>
        <w:bidi w:val="0"/>
        <w:jc w:val="center"/>
        <w:rPr>
          <w:rFonts w:ascii="Arial" w:hAnsi="Arial"/>
          <w:b/>
          <w:color w:val="000000"/>
          <w:sz w:val="22"/>
        </w:rPr>
      </w:pPr>
      <w:r>
        <w:rPr>
          <w:rFonts w:ascii="Arial" w:hAnsi="Arial"/>
          <w:b/>
          <w:color w:val="000000"/>
          <w:sz w:val="22"/>
        </w:rPr>
        <w:t>For the Six Months Ended June 30, 2026 and 2025</w:t>
      </w:r>
    </w:p>
    <w:p>
      <w:pPr>
        <w:pStyle w:val="TextBody"/>
        <w:bidi w:val="0"/>
        <w:jc w:val="center"/>
        <w:rPr>
          <w:rFonts w:ascii="Arial" w:hAnsi="Arial"/>
          <w:b/>
          <w:color w:val="000000"/>
          <w:sz w:val="22"/>
        </w:rPr>
      </w:pPr>
      <w:r>
        <w:rPr>
          <w:rFonts w:ascii="Arial" w:hAnsi="Arial"/>
          <w:b/>
          <w:color w:val="000000"/>
          <w:sz w:val="22"/>
        </w:rPr>
        <w:t>(Unaudited)</w:t>
      </w:r>
    </w:p>
    <w:p>
      <w:pPr>
        <w:pStyle w:val="TextBody"/>
        <w:bidi w:val="0"/>
        <w:jc w:val="center"/>
        <w:rPr/>
      </w:pPr>
      <w:r>
        <w:rPr/>
        <w:t> </w:t>
      </w:r>
    </w:p>
    <w:tbl>
      <w:tblPr>
        <w:tblW w:w="9119" w:type="dxa"/>
        <w:jc w:val="left"/>
        <w:tblInd w:w="0" w:type="dxa"/>
        <w:tblLayout w:type="fixed"/>
        <w:tblCellMar>
          <w:top w:w="28" w:type="dxa"/>
          <w:left w:w="28" w:type="dxa"/>
          <w:bottom w:w="28" w:type="dxa"/>
          <w:right w:w="28" w:type="dxa"/>
        </w:tblCellMar>
      </w:tblPr>
      <w:tblGrid>
        <w:gridCol w:w="6226"/>
        <w:gridCol w:w="196"/>
        <w:gridCol w:w="916"/>
        <w:gridCol w:w="166"/>
        <w:gridCol w:w="146"/>
        <w:gridCol w:w="196"/>
        <w:gridCol w:w="916"/>
        <w:gridCol w:w="166"/>
        <w:gridCol w:w="191"/>
      </w:tblGrid>
      <w:tr>
        <w:trPr/>
        <w:tc>
          <w:tcPr>
            <w:tcW w:w="6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thousands)</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181,499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152,951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Costs of services (exclusive of depreciation and amortization shown separately below)</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Impairment loss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from operations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(108,524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income (expense)</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tax receivable liability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(loss), net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 (expense)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before income tax benefit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(117,949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(21,563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(116,200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Add:</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Amortization of acquisition-related intangibles </w:t>
            </w:r>
            <w:r>
              <w:rPr>
                <w:rFonts w:ascii="Times New Roman" w:hAnsi="Times New Roman"/>
                <w:color w:val="000000"/>
                <w:sz w:val="12"/>
              </w:rPr>
              <w:t>(i)</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Non-cash impairment loss </w:t>
            </w:r>
            <w:r>
              <w:rPr>
                <w:rFonts w:ascii="Times New Roman" w:hAnsi="Times New Roman"/>
                <w:color w:val="000000"/>
                <w:sz w:val="12"/>
              </w:rPr>
              <w:t>(b)</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Loss on extinguishment of debt </w:t>
            </w:r>
            <w:r>
              <w:rPr>
                <w:rFonts w:ascii="Times New Roman" w:hAnsi="Times New Roman"/>
                <w:color w:val="000000"/>
                <w:sz w:val="12"/>
              </w:rPr>
              <w:t>(c)</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Non-cash change in fair value of assets and liabilities </w:t>
            </w:r>
            <w:r>
              <w:rPr>
                <w:rFonts w:ascii="Times New Roman" w:hAnsi="Times New Roman"/>
                <w:color w:val="000000"/>
                <w:sz w:val="12"/>
              </w:rPr>
              <w:t>(d)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Share-based compensation expense </w:t>
            </w:r>
            <w:r>
              <w:rPr>
                <w:rFonts w:ascii="Times New Roman" w:hAnsi="Times New Roman"/>
                <w:color w:val="000000"/>
                <w:sz w:val="12"/>
              </w:rPr>
              <w:t>(e)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Transaction expenses </w:t>
            </w:r>
            <w:r>
              <w:rPr>
                <w:rFonts w:ascii="Times New Roman" w:hAnsi="Times New Roman"/>
                <w:color w:val="000000"/>
                <w:sz w:val="12"/>
              </w:rPr>
              <w:t>(f)</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Restructuring and other strategic initiative costs </w:t>
            </w:r>
            <w:r>
              <w:rPr>
                <w:rFonts w:ascii="Times New Roman" w:hAnsi="Times New Roman"/>
                <w:color w:val="000000"/>
                <w:sz w:val="12"/>
              </w:rPr>
              <w:t>(g)</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non-recurring charges </w:t>
            </w:r>
            <w:r>
              <w:rPr>
                <w:rFonts w:ascii="Times New Roman" w:hAnsi="Times New Roman"/>
                <w:color w:val="000000"/>
                <w:sz w:val="12"/>
              </w:rPr>
              <w:t>(h)</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Non-cash interest expense </w:t>
            </w:r>
            <w:r>
              <w:rPr>
                <w:rFonts w:ascii="Times New Roman" w:hAnsi="Times New Roman"/>
                <w:color w:val="000000"/>
                <w:sz w:val="12"/>
              </w:rPr>
              <w:t>(j)</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Pro forma taxes at effective rate </w:t>
            </w:r>
            <w:r>
              <w:rPr>
                <w:rFonts w:ascii="Times New Roman" w:hAnsi="Times New Roman"/>
                <w:color w:val="000000"/>
                <w:sz w:val="12"/>
              </w:rPr>
              <w:t>(k)</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Net Income</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37,294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39,362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Shares of Class A common stock outstanding (on an as-converted basis) </w:t>
            </w:r>
            <w:r>
              <w:rPr>
                <w:rFonts w:ascii="Times New Roman" w:hAnsi="Times New Roman"/>
                <w:color w:val="000000"/>
                <w:sz w:val="12"/>
              </w:rPr>
              <w:t>(l)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88,189,615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94,146,654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Net Income per share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2"/>
        </w:rPr>
      </w:pPr>
      <w:r>
        <w:rPr>
          <w:rFonts w:ascii="Arial" w:hAnsi="Arial"/>
          <w:b/>
          <w:color w:val="000000"/>
          <w:sz w:val="22"/>
        </w:rPr>
        <w:t>Reconciliation of Operating Cash Flow to Free Cash Flow</w:t>
      </w:r>
    </w:p>
    <w:p>
      <w:pPr>
        <w:pStyle w:val="TextBody"/>
        <w:bidi w:val="0"/>
        <w:jc w:val="center"/>
        <w:rPr>
          <w:rFonts w:ascii="Arial" w:hAnsi="Arial"/>
          <w:b/>
          <w:color w:val="000000"/>
          <w:sz w:val="22"/>
        </w:rPr>
      </w:pPr>
      <w:r>
        <w:rPr>
          <w:rFonts w:ascii="Arial" w:hAnsi="Arial"/>
          <w:b/>
          <w:color w:val="000000"/>
          <w:sz w:val="22"/>
        </w:rPr>
        <w:t>For the Three and Six Months Ended June 30, 2026 and 2025</w:t>
      </w:r>
    </w:p>
    <w:p>
      <w:pPr>
        <w:pStyle w:val="TextBody"/>
        <w:bidi w:val="0"/>
        <w:jc w:val="center"/>
        <w:rPr>
          <w:rFonts w:ascii="Arial" w:hAnsi="Arial"/>
          <w:b/>
          <w:color w:val="000000"/>
          <w:sz w:val="22"/>
        </w:rPr>
      </w:pPr>
      <w:r>
        <w:rPr>
          <w:rFonts w:ascii="Arial" w:hAnsi="Arial"/>
          <w:b/>
          <w:color w:val="000000"/>
          <w:sz w:val="22"/>
        </w:rPr>
        <w:t>(Unaudited)</w:t>
      </w:r>
    </w:p>
    <w:p>
      <w:pPr>
        <w:pStyle w:val="TextBody"/>
        <w:bidi w:val="0"/>
        <w:jc w:val="left"/>
        <w:rPr/>
      </w:pPr>
      <w:r>
        <w:rPr/>
        <w:t> </w:t>
      </w:r>
    </w:p>
    <w:tbl>
      <w:tblPr>
        <w:tblW w:w="9581" w:type="dxa"/>
        <w:jc w:val="left"/>
        <w:tblInd w:w="0" w:type="dxa"/>
        <w:tblLayout w:type="fixed"/>
        <w:tblCellMar>
          <w:top w:w="28" w:type="dxa"/>
          <w:left w:w="28" w:type="dxa"/>
          <w:bottom w:w="28" w:type="dxa"/>
          <w:right w:w="28" w:type="dxa"/>
        </w:tblCellMar>
      </w:tblPr>
      <w:tblGrid>
        <w:gridCol w:w="3571"/>
        <w:gridCol w:w="146"/>
        <w:gridCol w:w="236"/>
        <w:gridCol w:w="825"/>
        <w:gridCol w:w="337"/>
        <w:gridCol w:w="163"/>
        <w:gridCol w:w="236"/>
        <w:gridCol w:w="825"/>
        <w:gridCol w:w="301"/>
        <w:gridCol w:w="146"/>
        <w:gridCol w:w="215"/>
        <w:gridCol w:w="750"/>
        <w:gridCol w:w="306"/>
        <w:gridCol w:w="148"/>
        <w:gridCol w:w="215"/>
        <w:gridCol w:w="750"/>
        <w:gridCol w:w="41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40,239</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33,065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57,062</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35,568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paid for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Capitalized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(10,685</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(22,003</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(12,868</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(24,308</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27,371</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32,754</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14,566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merger, integration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1,911</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2,343</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29,282</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35,097</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14,566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 conversion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free cash flow conversion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center"/>
        <w:rPr>
          <w:rFonts w:ascii="Arial" w:hAnsi="Arial"/>
          <w:b/>
          <w:color w:val="000000"/>
          <w:sz w:val="22"/>
        </w:rPr>
      </w:pPr>
      <w:r>
        <w:rPr>
          <w:rFonts w:ascii="Arial" w:hAnsi="Arial"/>
          <w:b/>
          <w:color w:val="000000"/>
          <w:sz w:val="22"/>
        </w:rPr>
        <w:t>Quarterly Reconciliation of Operating Cash Flow to Free Cash Flow</w:t>
      </w:r>
    </w:p>
    <w:p>
      <w:pPr>
        <w:pStyle w:val="TextBody"/>
        <w:bidi w:val="0"/>
        <w:jc w:val="center"/>
        <w:rPr>
          <w:rFonts w:ascii="Arial" w:hAnsi="Arial"/>
          <w:b/>
          <w:color w:val="000000"/>
          <w:sz w:val="22"/>
        </w:rPr>
      </w:pPr>
      <w:r>
        <w:rPr>
          <w:rFonts w:ascii="Arial" w:hAnsi="Arial"/>
          <w:b/>
          <w:color w:val="000000"/>
          <w:sz w:val="22"/>
        </w:rPr>
        <w:t>(Unaudited)</w:t>
      </w:r>
    </w:p>
    <w:p>
      <w:pPr>
        <w:pStyle w:val="TextBody"/>
        <w:bidi w:val="0"/>
        <w:jc w:val="center"/>
        <w:rPr/>
      </w:pPr>
      <w:r>
        <w:rPr/>
        <w:t> </w:t>
      </w:r>
    </w:p>
    <w:tbl>
      <w:tblPr>
        <w:tblW w:w="9522" w:type="dxa"/>
        <w:jc w:val="left"/>
        <w:tblInd w:w="0" w:type="dxa"/>
        <w:tblLayout w:type="fixed"/>
        <w:tblCellMar>
          <w:top w:w="28" w:type="dxa"/>
          <w:left w:w="28" w:type="dxa"/>
          <w:bottom w:w="28" w:type="dxa"/>
          <w:right w:w="28" w:type="dxa"/>
        </w:tblCellMar>
      </w:tblPr>
      <w:tblGrid>
        <w:gridCol w:w="3571"/>
        <w:gridCol w:w="146"/>
        <w:gridCol w:w="357"/>
        <w:gridCol w:w="1248"/>
        <w:gridCol w:w="301"/>
        <w:gridCol w:w="146"/>
        <w:gridCol w:w="344"/>
        <w:gridCol w:w="1201"/>
        <w:gridCol w:w="361"/>
        <w:gridCol w:w="146"/>
        <w:gridCol w:w="287"/>
        <w:gridCol w:w="1003"/>
        <w:gridCol w:w="41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32,227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23,317</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16,823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paid for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Capitalized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(11,321</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(41,497</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20,784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(18,666</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5,383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merger, integration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20,784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(18,666</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 conversion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Free cash flow conversion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center"/>
        <w:rPr/>
      </w:pPr>
      <w:r>
        <w:rPr/>
        <w:t> </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Reconciliation of Revenue Growth to Organic and Normalized Organic Revenue Growth</w:t>
      </w:r>
    </w:p>
    <w:p>
      <w:pPr>
        <w:pStyle w:val="TextBody"/>
        <w:bidi w:val="0"/>
        <w:jc w:val="center"/>
        <w:rPr>
          <w:rFonts w:ascii="Arial" w:hAnsi="Arial"/>
          <w:b/>
          <w:color w:val="000000"/>
          <w:sz w:val="20"/>
        </w:rPr>
      </w:pPr>
      <w:r>
        <w:rPr>
          <w:rFonts w:ascii="Arial" w:hAnsi="Arial"/>
          <w:b/>
          <w:color w:val="000000"/>
          <w:sz w:val="20"/>
        </w:rPr>
        <w:t>For the Year-over-Year Change Between the Three Months Ended June 30, 2026 and 2025</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07"/>
        <w:gridCol w:w="146"/>
        <w:gridCol w:w="537"/>
        <w:gridCol w:w="1278"/>
        <w:gridCol w:w="271"/>
        <w:gridCol w:w="146"/>
        <w:gridCol w:w="526"/>
        <w:gridCol w:w="1142"/>
        <w:gridCol w:w="271"/>
        <w:gridCol w:w="146"/>
        <w:gridCol w:w="180"/>
        <w:gridCol w:w="391"/>
        <w:gridCol w:w="271"/>
        <w:gridCol w:w="193"/>
      </w:tblGrid>
      <w:tr>
        <w:trPr/>
        <w:tc>
          <w:tcPr>
            <w:tcW w:w="4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Consumer Payments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Business Payments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 growth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Growth from acquisitions and dispositions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Organic revenue growth </w:t>
            </w:r>
            <w:r>
              <w:rPr>
                <w:rFonts w:ascii="Times New Roman" w:hAnsi="Times New Roman"/>
                <w:color w:val="000000"/>
                <w:sz w:val="13"/>
              </w:rPr>
              <w:t>(m)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Growth from contributions related to political media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Normalized Organic revenue growth </w:t>
            </w:r>
            <w:r>
              <w:rPr>
                <w:rFonts w:ascii="Times New Roman" w:hAnsi="Times New Roman"/>
                <w:color w:val="000000"/>
                <w:sz w:val="13"/>
              </w:rPr>
              <w:t>(n)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both"/>
        <w:rPr>
          <w:rFonts w:ascii="Arial" w:hAnsi="Arial"/>
          <w:color w:val="000000"/>
          <w:sz w:val="22"/>
        </w:rPr>
      </w:pPr>
      <w:r>
        <w:rPr>
          <w:rFonts w:ascii="Arial" w:hAnsi="Arial"/>
          <w:color w:val="000000"/>
          <w:sz w:val="22"/>
        </w:rPr>
        <w:t>(a)</w:t>
      </w:r>
    </w:p>
    <w:p>
      <w:pPr>
        <w:pStyle w:val="TextBody"/>
        <w:bidi w:val="0"/>
        <w:spacing w:before="0" w:after="0"/>
        <w:jc w:val="both"/>
        <w:rPr>
          <w:rFonts w:ascii="Arial" w:hAnsi="Arial"/>
          <w:color w:val="000000"/>
          <w:sz w:val="22"/>
        </w:rPr>
      </w:pPr>
      <w:r>
        <w:rPr>
          <w:rFonts w:ascii="Arial" w:hAnsi="Arial"/>
          <w:color w:val="000000"/>
          <w:sz w:val="22"/>
        </w:rPr>
        <w:t>See footnote (i) for details on amortization and depreciation expenses.</w:t>
      </w:r>
    </w:p>
    <w:p>
      <w:pPr>
        <w:pStyle w:val="TextBody"/>
        <w:bidi w:val="0"/>
        <w:spacing w:before="0" w:after="0"/>
        <w:jc w:val="both"/>
        <w:rPr>
          <w:rFonts w:ascii="Arial" w:hAnsi="Arial"/>
          <w:color w:val="000000"/>
          <w:sz w:val="22"/>
        </w:rPr>
      </w:pPr>
      <w:r>
        <w:rPr>
          <w:rFonts w:ascii="Arial" w:hAnsi="Arial"/>
          <w:color w:val="000000"/>
          <w:sz w:val="22"/>
        </w:rPr>
        <w:t>(b)</w:t>
      </w:r>
    </w:p>
    <w:p>
      <w:pPr>
        <w:pStyle w:val="TextBody"/>
        <w:bidi w:val="0"/>
        <w:spacing w:before="0" w:after="0"/>
        <w:jc w:val="both"/>
        <w:rPr>
          <w:rFonts w:ascii="Arial" w:hAnsi="Arial"/>
          <w:color w:val="000000"/>
          <w:sz w:val="22"/>
        </w:rPr>
      </w:pPr>
      <w:r>
        <w:rPr>
          <w:rFonts w:ascii="Arial" w:hAnsi="Arial"/>
          <w:color w:val="000000"/>
          <w:sz w:val="22"/>
        </w:rPr>
        <w:t>Reflects non-cash goodwill impairment loss primarily related to the Consumer Payments segment.</w:t>
      </w:r>
    </w:p>
    <w:p>
      <w:pPr>
        <w:pStyle w:val="TextBody"/>
        <w:bidi w:val="0"/>
        <w:spacing w:before="0" w:after="0"/>
        <w:jc w:val="both"/>
        <w:rPr>
          <w:rFonts w:ascii="Arial" w:hAnsi="Arial"/>
          <w:color w:val="000000"/>
          <w:sz w:val="22"/>
        </w:rPr>
      </w:pPr>
      <w:r>
        <w:rPr>
          <w:rFonts w:ascii="Arial" w:hAnsi="Arial"/>
          <w:color w:val="000000"/>
          <w:sz w:val="22"/>
        </w:rPr>
        <w:t>(c)</w:t>
      </w:r>
    </w:p>
    <w:p>
      <w:pPr>
        <w:pStyle w:val="TextBody"/>
        <w:bidi w:val="0"/>
        <w:spacing w:before="0" w:after="0"/>
        <w:jc w:val="both"/>
        <w:rPr>
          <w:rFonts w:ascii="Arial" w:hAnsi="Arial"/>
          <w:color w:val="000000"/>
          <w:sz w:val="22"/>
        </w:rPr>
      </w:pPr>
      <w:r>
        <w:rPr>
          <w:rFonts w:ascii="Arial" w:hAnsi="Arial"/>
          <w:color w:val="000000"/>
          <w:sz w:val="22"/>
        </w:rPr>
        <w:t>For the three and six months ended June 30, 2026, reflects a loss on the extinguishment of the revolving credit facility, net of a write-off of debt issuance costs relating to the principal. For the three months ended September 30, 2025, reflects a gain on the repurchase of 2026 Notes principal, net of a write-off of debt issuance costs relating to the repurchased principal.</w:t>
      </w:r>
    </w:p>
    <w:p>
      <w:pPr>
        <w:pStyle w:val="TextBody"/>
        <w:bidi w:val="0"/>
        <w:spacing w:before="0" w:after="0"/>
        <w:jc w:val="both"/>
        <w:rPr>
          <w:rFonts w:ascii="Arial" w:hAnsi="Arial"/>
          <w:color w:val="000000"/>
          <w:sz w:val="22"/>
        </w:rPr>
      </w:pPr>
      <w:r>
        <w:rPr>
          <w:rFonts w:ascii="Arial" w:hAnsi="Arial"/>
          <w:color w:val="000000"/>
          <w:sz w:val="22"/>
        </w:rPr>
        <w:t>(d)</w:t>
      </w:r>
    </w:p>
    <w:p>
      <w:pPr>
        <w:pStyle w:val="TextBody"/>
        <w:bidi w:val="0"/>
        <w:spacing w:before="0" w:after="0"/>
        <w:jc w:val="both"/>
        <w:rPr>
          <w:rFonts w:ascii="Arial" w:hAnsi="Arial"/>
          <w:color w:val="000000"/>
          <w:sz w:val="22"/>
        </w:rPr>
      </w:pPr>
      <w:r>
        <w:rPr>
          <w:rFonts w:ascii="Arial" w:hAnsi="Arial"/>
          <w:color w:val="000000"/>
          <w:sz w:val="22"/>
        </w:rPr>
        <w:t>Reflects the changes in management’s estimates of the fair value of the liability relating to the Tax Receivable Agreement.</w:t>
      </w:r>
    </w:p>
    <w:p>
      <w:pPr>
        <w:pStyle w:val="TextBody"/>
        <w:bidi w:val="0"/>
        <w:spacing w:before="0" w:after="0"/>
        <w:jc w:val="both"/>
        <w:rPr>
          <w:rFonts w:ascii="Arial" w:hAnsi="Arial"/>
          <w:color w:val="000000"/>
          <w:sz w:val="22"/>
        </w:rPr>
      </w:pPr>
      <w:r>
        <w:rPr>
          <w:rFonts w:ascii="Arial" w:hAnsi="Arial"/>
          <w:color w:val="000000"/>
          <w:sz w:val="22"/>
        </w:rPr>
        <w:t>(e)</w:t>
      </w:r>
    </w:p>
    <w:p>
      <w:pPr>
        <w:pStyle w:val="TextBody"/>
        <w:bidi w:val="0"/>
        <w:spacing w:before="0" w:after="0"/>
        <w:jc w:val="both"/>
        <w:rPr>
          <w:rFonts w:ascii="Arial" w:hAnsi="Arial"/>
          <w:color w:val="000000"/>
          <w:sz w:val="22"/>
        </w:rPr>
      </w:pPr>
      <w:r>
        <w:rPr>
          <w:rFonts w:ascii="Arial" w:hAnsi="Arial"/>
          <w:color w:val="000000"/>
          <w:sz w:val="22"/>
        </w:rPr>
        <w:t>Represents compensation expense associated with equity compensation plans.</w:t>
      </w:r>
    </w:p>
    <w:p>
      <w:pPr>
        <w:pStyle w:val="TextBody"/>
        <w:bidi w:val="0"/>
        <w:spacing w:before="0" w:after="0"/>
        <w:jc w:val="both"/>
        <w:rPr>
          <w:rFonts w:ascii="Arial" w:hAnsi="Arial"/>
          <w:color w:val="000000"/>
          <w:sz w:val="22"/>
        </w:rPr>
      </w:pPr>
      <w:r>
        <w:rPr>
          <w:rFonts w:ascii="Arial" w:hAnsi="Arial"/>
          <w:color w:val="000000"/>
          <w:sz w:val="22"/>
        </w:rPr>
        <w:t>(f)</w:t>
      </w:r>
    </w:p>
    <w:p>
      <w:pPr>
        <w:pStyle w:val="TextBody"/>
        <w:bidi w:val="0"/>
        <w:spacing w:before="0" w:after="0"/>
        <w:jc w:val="both"/>
        <w:rPr>
          <w:rFonts w:ascii="Arial" w:hAnsi="Arial"/>
          <w:color w:val="000000"/>
          <w:sz w:val="22"/>
        </w:rPr>
      </w:pPr>
      <w:r>
        <w:rPr>
          <w:rFonts w:ascii="Arial" w:hAnsi="Arial"/>
          <w:color w:val="000000"/>
          <w:sz w:val="22"/>
        </w:rPr>
        <w:t>Primarily consists of (i) during the three and six months ended June 30, 2026, professional service fees and other costs incurred in connection with the acquisition of KUBRA and (ii) during the three and six months ended June 30, 2025, three months ended September 30, 2025, three months ended December 31, 2025 and three months ended March 31, 2026, professional service fees and other costs incurred in connection with prior transactions.</w:t>
      </w:r>
    </w:p>
    <w:p>
      <w:pPr>
        <w:pStyle w:val="TextBody"/>
        <w:bidi w:val="0"/>
        <w:spacing w:before="0" w:after="0"/>
        <w:jc w:val="both"/>
        <w:rPr>
          <w:rFonts w:ascii="Arial" w:hAnsi="Arial"/>
          <w:color w:val="000000"/>
          <w:sz w:val="22"/>
        </w:rPr>
      </w:pPr>
      <w:r>
        <w:rPr>
          <w:rFonts w:ascii="Arial" w:hAnsi="Arial"/>
          <w:color w:val="000000"/>
          <w:sz w:val="22"/>
        </w:rPr>
        <w:t>(g)</w:t>
      </w:r>
    </w:p>
    <w:p>
      <w:pPr>
        <w:pStyle w:val="TextBody"/>
        <w:bidi w:val="0"/>
        <w:spacing w:before="0" w:after="0"/>
        <w:jc w:val="both"/>
        <w:rPr>
          <w:rFonts w:ascii="Arial" w:hAnsi="Arial"/>
          <w:color w:val="000000"/>
          <w:sz w:val="22"/>
        </w:rPr>
      </w:pPr>
      <w:r>
        <w:rPr>
          <w:rFonts w:ascii="Arial" w:hAnsi="Arial"/>
          <w:color w:val="000000"/>
          <w:sz w:val="22"/>
        </w:rPr>
        <w:t>Reflects costs associated with reorganization of operations, consulting fees related to processing services and other operational improvements, including restructuring and integration activities related to acquired businesses, that were not in the ordinary course.</w:t>
      </w:r>
    </w:p>
    <w:p>
      <w:pPr>
        <w:pStyle w:val="TextBody"/>
        <w:bidi w:val="0"/>
        <w:spacing w:before="0" w:after="0"/>
        <w:jc w:val="both"/>
        <w:rPr>
          <w:rFonts w:ascii="Arial" w:hAnsi="Arial"/>
          <w:color w:val="000000"/>
          <w:sz w:val="22"/>
        </w:rPr>
      </w:pPr>
      <w:r>
        <w:rPr>
          <w:rFonts w:ascii="Arial" w:hAnsi="Arial"/>
          <w:color w:val="000000"/>
          <w:sz w:val="22"/>
        </w:rPr>
        <w:t>(h)</w:t>
      </w:r>
    </w:p>
    <w:p>
      <w:pPr>
        <w:pStyle w:val="TextBody"/>
        <w:bidi w:val="0"/>
        <w:spacing w:before="0" w:after="0"/>
        <w:jc w:val="both"/>
        <w:rPr>
          <w:rFonts w:ascii="Arial" w:hAnsi="Arial"/>
          <w:color w:val="000000"/>
          <w:sz w:val="22"/>
        </w:rPr>
      </w:pPr>
      <w:r>
        <w:rPr>
          <w:rFonts w:ascii="Arial" w:hAnsi="Arial"/>
          <w:color w:val="000000"/>
          <w:sz w:val="22"/>
        </w:rPr>
        <w:t>Reflects franchise taxes and other non-income based taxes, non-recurring legal and other litigation expenses and payments made to third-parties in connection with our IT security and personnel.</w:t>
      </w:r>
    </w:p>
    <w:p>
      <w:pPr>
        <w:pStyle w:val="TextBody"/>
        <w:bidi w:val="0"/>
        <w:spacing w:before="0" w:after="0"/>
        <w:jc w:val="both"/>
        <w:rPr>
          <w:rFonts w:ascii="Arial" w:hAnsi="Arial"/>
          <w:color w:val="000000"/>
          <w:sz w:val="22"/>
        </w:rPr>
      </w:pPr>
      <w:r>
        <w:rPr>
          <w:rFonts w:ascii="Arial" w:hAnsi="Arial"/>
          <w:color w:val="000000"/>
          <w:sz w:val="22"/>
        </w:rPr>
        <w:t>(i)</w:t>
      </w:r>
    </w:p>
    <w:p>
      <w:pPr>
        <w:pStyle w:val="TextBody"/>
        <w:bidi w:val="0"/>
        <w:jc w:val="both"/>
        <w:rPr>
          <w:rFonts w:ascii="Arial" w:hAnsi="Arial"/>
          <w:color w:val="000000"/>
          <w:sz w:val="22"/>
        </w:rPr>
      </w:pPr>
      <w:r>
        <w:rPr>
          <w:rFonts w:ascii="Arial" w:hAnsi="Arial"/>
          <w:color w:val="000000"/>
          <w:sz w:val="22"/>
        </w:rPr>
        <w:t>For the three and six months ended June 30, 2026, reflects amortization of client relationships, non-compete agreement, software, and channel relationship intangibles acquired through the Business Combination, and client relationships, non-compete agreement, and software intangibles acquired through our acquisitions of TriSource, APS, Ventanex, cPayPlus, CPS, BillingTree, Kontrol, Payix and KUBRA. For the three and six months ended June 30, 2025, three months ended September 30, 2025, three months ended December 31, 2025 and three months ended March 31, 2026, reflects amortization of client relationships, non-compete agreement, software, and channel relationship intangibles acquired through the Business Combination, and client relationships, non-compete agreement, and software intangibles acquired through our acquisitions of TriSource, APS, Ventanex, cPayPlus, CPS, BillingTree, Kontrol and Payix. This adjustment excludes the amortization of other intangible assets which were acquired in the regular course of business, such as capitalized internally developed software and purchased software. See additional information below for an analysis of our amortization expenses:</w:t>
      </w:r>
    </w:p>
    <w:p>
      <w:pPr>
        <w:pStyle w:val="TextBody"/>
        <w:bidi w:val="0"/>
        <w:jc w:val="left"/>
        <w:rPr/>
      </w:pPr>
      <w:r>
        <w:rPr/>
        <w:t> </w:t>
      </w:r>
    </w:p>
    <w:tbl>
      <w:tblPr>
        <w:tblW w:w="9086" w:type="dxa"/>
        <w:jc w:val="left"/>
        <w:tblInd w:w="0" w:type="dxa"/>
        <w:tblLayout w:type="fixed"/>
        <w:tblCellMar>
          <w:top w:w="28" w:type="dxa"/>
          <w:left w:w="28" w:type="dxa"/>
          <w:bottom w:w="28" w:type="dxa"/>
          <w:right w:w="28" w:type="dxa"/>
        </w:tblCellMar>
      </w:tblPr>
      <w:tblGrid>
        <w:gridCol w:w="3451"/>
        <w:gridCol w:w="146"/>
        <w:gridCol w:w="268"/>
        <w:gridCol w:w="859"/>
        <w:gridCol w:w="185"/>
        <w:gridCol w:w="185"/>
        <w:gridCol w:w="268"/>
        <w:gridCol w:w="859"/>
        <w:gridCol w:w="146"/>
        <w:gridCol w:w="146"/>
        <w:gridCol w:w="243"/>
        <w:gridCol w:w="780"/>
        <w:gridCol w:w="168"/>
        <w:gridCol w:w="168"/>
        <w:gridCol w:w="243"/>
        <w:gridCol w:w="780"/>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Acquisition-related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21,954</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25,787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51,116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50,132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Total Depreciation and amortization </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27,636</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53,176</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50,775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812" w:type="dxa"/>
        <w:jc w:val="left"/>
        <w:tblInd w:w="0" w:type="dxa"/>
        <w:tblLayout w:type="fixed"/>
        <w:tblCellMar>
          <w:top w:w="28" w:type="dxa"/>
          <w:left w:w="28" w:type="dxa"/>
          <w:bottom w:w="28" w:type="dxa"/>
          <w:right w:w="28" w:type="dxa"/>
        </w:tblCellMar>
      </w:tblPr>
      <w:tblGrid>
        <w:gridCol w:w="3451"/>
        <w:gridCol w:w="146"/>
        <w:gridCol w:w="381"/>
        <w:gridCol w:w="1224"/>
        <w:gridCol w:w="146"/>
        <w:gridCol w:w="146"/>
        <w:gridCol w:w="367"/>
        <w:gridCol w:w="1178"/>
        <w:gridCol w:w="146"/>
        <w:gridCol w:w="146"/>
        <w:gridCol w:w="307"/>
        <w:gridCol w:w="983"/>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Acquisition-related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Total Depreciation and amortization </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25,540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Arial" w:hAnsi="Arial"/>
          <w:color w:val="000000"/>
          <w:sz w:val="22"/>
        </w:rPr>
      </w:pPr>
      <w:r>
        <w:rPr>
          <w:rFonts w:ascii="Arial" w:hAnsi="Arial"/>
          <w:color w:val="000000"/>
          <w:sz w:val="22"/>
        </w:rPr>
        <w:t>(1)</w:t>
      </w:r>
    </w:p>
    <w:p>
      <w:pPr>
        <w:pStyle w:val="TextBody"/>
        <w:bidi w:val="0"/>
        <w:spacing w:before="200" w:after="283"/>
        <w:jc w:val="both"/>
        <w:rPr>
          <w:rFonts w:ascii="Arial" w:hAnsi="Arial"/>
          <w:color w:val="000000"/>
          <w:sz w:val="22"/>
        </w:rPr>
      </w:pPr>
      <w:r>
        <w:rPr>
          <w:rFonts w:ascii="Arial" w:hAnsi="Arial"/>
          <w:color w:val="000000"/>
          <w:sz w:val="22"/>
        </w:rPr>
        <w:t xml:space="preserve">Adjusted Net Income is adjusted to exclude amortization of all acquisition-related intangibles as such amounts are inconsistent in amount and frequency and are significantly impacted by the timing and/or size of acquisitions (see corresponding adjustments in the reconciliation of net income to Adjusted Net Income presented above). Management believes that the adjustment of acquisition-related intangible amortization supplements GAAP financial measures because it allows for greater comparability of operating performance. Although REPAY excludes amortization from acquisition-related intangibles from its non-GAAP expenses, management believes that it is important for investors to understand that such intangibles were recorded as part of purchase accounting and contribute to revenue generation. Amortization of intangibles that relate to past acquisitions will recur in future periods until such intangibles have been fully amortized. Any future acquisitions may result in the amortization of additional intangibles. </w:t>
      </w:r>
    </w:p>
    <w:p>
      <w:pPr>
        <w:pStyle w:val="TextBody"/>
        <w:bidi w:val="0"/>
        <w:jc w:val="both"/>
        <w:rPr/>
      </w:pPr>
      <w:r>
        <w:rPr/>
        <w:t> </w:t>
      </w:r>
    </w:p>
    <w:p>
      <w:pPr>
        <w:pStyle w:val="TextBody"/>
        <w:bidi w:val="0"/>
        <w:spacing w:before="0" w:after="0"/>
        <w:jc w:val="both"/>
        <w:rPr>
          <w:rFonts w:ascii="Arial" w:hAnsi="Arial"/>
          <w:color w:val="000000"/>
          <w:sz w:val="22"/>
        </w:rPr>
      </w:pPr>
      <w:r>
        <w:rPr>
          <w:rFonts w:ascii="Arial" w:hAnsi="Arial"/>
          <w:color w:val="000000"/>
          <w:sz w:val="22"/>
        </w:rPr>
        <w:t>(j)</w:t>
      </w:r>
    </w:p>
    <w:p>
      <w:pPr>
        <w:pStyle w:val="TextBody"/>
        <w:bidi w:val="0"/>
        <w:spacing w:before="0" w:after="0"/>
        <w:jc w:val="both"/>
        <w:rPr>
          <w:rFonts w:ascii="Arial" w:hAnsi="Arial"/>
          <w:color w:val="000000"/>
          <w:sz w:val="22"/>
        </w:rPr>
      </w:pPr>
      <w:r>
        <w:rPr>
          <w:rFonts w:ascii="Arial" w:hAnsi="Arial"/>
          <w:color w:val="000000"/>
          <w:sz w:val="22"/>
        </w:rPr>
        <w:t>Represents amortization of non-cash deferred debt issuance costs.</w:t>
      </w:r>
    </w:p>
    <w:p>
      <w:pPr>
        <w:pStyle w:val="TextBody"/>
        <w:bidi w:val="0"/>
        <w:spacing w:before="0" w:after="0"/>
        <w:jc w:val="both"/>
        <w:rPr>
          <w:rFonts w:ascii="Arial" w:hAnsi="Arial"/>
          <w:color w:val="000000"/>
          <w:sz w:val="22"/>
        </w:rPr>
      </w:pPr>
      <w:r>
        <w:rPr>
          <w:rFonts w:ascii="Arial" w:hAnsi="Arial"/>
          <w:color w:val="000000"/>
          <w:sz w:val="22"/>
        </w:rPr>
        <w:t>(k)</w:t>
      </w:r>
    </w:p>
    <w:p>
      <w:pPr>
        <w:pStyle w:val="TextBody"/>
        <w:bidi w:val="0"/>
        <w:spacing w:before="0" w:after="0"/>
        <w:jc w:val="both"/>
        <w:rPr>
          <w:rFonts w:ascii="Arial" w:hAnsi="Arial"/>
          <w:color w:val="000000"/>
          <w:sz w:val="22"/>
        </w:rPr>
      </w:pPr>
      <w:r>
        <w:rPr>
          <w:rFonts w:ascii="Arial" w:hAnsi="Arial"/>
          <w:color w:val="000000"/>
          <w:sz w:val="22"/>
        </w:rPr>
        <w:t xml:space="preserve">Represents pro forma income tax adjustment effect associated with items adjusted above. </w:t>
      </w:r>
    </w:p>
    <w:p>
      <w:pPr>
        <w:pStyle w:val="TextBody"/>
        <w:bidi w:val="0"/>
        <w:spacing w:before="0" w:after="0"/>
        <w:jc w:val="both"/>
        <w:rPr>
          <w:rFonts w:ascii="Arial" w:hAnsi="Arial"/>
          <w:color w:val="000000"/>
          <w:sz w:val="22"/>
        </w:rPr>
      </w:pPr>
      <w:r>
        <w:rPr>
          <w:rFonts w:ascii="Arial" w:hAnsi="Arial"/>
          <w:color w:val="000000"/>
          <w:sz w:val="22"/>
        </w:rPr>
        <w:t>(l)</w:t>
      </w:r>
    </w:p>
    <w:p>
      <w:pPr>
        <w:pStyle w:val="TextBody"/>
        <w:bidi w:val="0"/>
        <w:jc w:val="both"/>
        <w:rPr/>
      </w:pPr>
      <w:r>
        <w:rPr>
          <w:rFonts w:ascii="Arial" w:hAnsi="Arial"/>
          <w:color w:val="000000"/>
          <w:sz w:val="22"/>
        </w:rPr>
        <w:t>Represents the weighted average number of shares of Class A common stock outstanding (on an as-converted basis</w:t>
      </w:r>
      <w:r>
        <w:rPr>
          <w:color w:val="000000"/>
        </w:rPr>
        <w:t xml:space="preserve"> </w:t>
      </w:r>
      <w:r>
        <w:rPr>
          <w:rFonts w:ascii="Arial" w:hAnsi="Arial"/>
          <w:color w:val="000000"/>
          <w:sz w:val="22"/>
        </w:rPr>
        <w:t>assuming conversion of outstanding Post-Merger Repay Units) for the three and six months ended June 30, 2026 and 2025. These numbers do not include any shares issuable upon conversion of the Company’s convertible senior notes. See the reconciliation of basic weighted average shares outstanding to the non-GAAP Class A common stock outstanding on an as-converted basis for each respective period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80"/>
        <w:gridCol w:w="146"/>
        <w:gridCol w:w="1152"/>
        <w:gridCol w:w="161"/>
        <w:gridCol w:w="1152"/>
        <w:gridCol w:w="146"/>
        <w:gridCol w:w="1082"/>
        <w:gridCol w:w="152"/>
        <w:gridCol w:w="1134"/>
      </w:tblGrid>
      <w:tr>
        <w:trPr/>
        <w:tc>
          <w:tcPr>
            <w:tcW w:w="5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r>
      <w:tr>
        <w:trPr/>
        <w:tc>
          <w:tcPr>
            <w:tcW w:w="5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r>
      <w:tr>
        <w:trPr/>
        <w:tc>
          <w:tcPr>
            <w:tcW w:w="5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r>
      <w:tr>
        <w:trPr/>
        <w:tc>
          <w:tcPr>
            <w:tcW w:w="5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Class A common stock outstanding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83,285,379</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88,647,823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82,903,732</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88,825,785</w:t>
            </w:r>
          </w:p>
        </w:tc>
      </w:tr>
      <w:tr>
        <w:trPr/>
        <w:tc>
          <w:tcPr>
            <w:tcW w:w="5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08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Weighted average Post-Merger Repay Units exchangeable for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5,285,883</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5,289,543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5,285,883</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5,320,869</w:t>
            </w:r>
          </w:p>
        </w:tc>
      </w:tr>
      <w:tr>
        <w:trPr/>
        <w:tc>
          <w:tcPr>
            <w:tcW w:w="5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Shares of Class A common stock outstanding (on an as-converted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88,571,262</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93,937,366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88,189,615</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94,146,654</w:t>
            </w:r>
          </w:p>
        </w:tc>
      </w:tr>
    </w:tbl>
    <w:p>
      <w:pPr>
        <w:pStyle w:val="TextBody"/>
        <w:bidi w:val="0"/>
        <w:jc w:val="left"/>
        <w:rPr/>
      </w:pPr>
      <w:r>
        <w:rPr/>
        <w:t> </w:t>
      </w:r>
    </w:p>
    <w:p>
      <w:pPr>
        <w:pStyle w:val="TextBody"/>
        <w:bidi w:val="0"/>
        <w:spacing w:before="0" w:after="0"/>
        <w:jc w:val="both"/>
        <w:rPr>
          <w:rFonts w:ascii="Arial" w:hAnsi="Arial"/>
          <w:color w:val="000000"/>
          <w:sz w:val="22"/>
        </w:rPr>
      </w:pPr>
      <w:r>
        <w:rPr>
          <w:rFonts w:ascii="Arial" w:hAnsi="Arial"/>
          <w:color w:val="000000"/>
          <w:sz w:val="22"/>
        </w:rPr>
        <w:t>(m)</w:t>
      </w:r>
    </w:p>
    <w:p>
      <w:pPr>
        <w:pStyle w:val="TextBody"/>
        <w:bidi w:val="0"/>
        <w:spacing w:before="0" w:after="0"/>
        <w:jc w:val="both"/>
        <w:rPr>
          <w:rFonts w:ascii="Arial" w:hAnsi="Arial"/>
          <w:color w:val="000000"/>
          <w:sz w:val="22"/>
        </w:rPr>
      </w:pPr>
      <w:r>
        <w:rPr>
          <w:rFonts w:ascii="Arial" w:hAnsi="Arial"/>
          <w:color w:val="000000"/>
          <w:sz w:val="22"/>
        </w:rPr>
        <w:t>Represents year-on-year revenue growth that excludes incremental revenue attributable to acquisitions and dispositions made in the applicable prior period or any subsequent period.</w:t>
      </w:r>
    </w:p>
    <w:p>
      <w:pPr>
        <w:pStyle w:val="TextBody"/>
        <w:bidi w:val="0"/>
        <w:spacing w:before="0" w:after="0"/>
        <w:jc w:val="both"/>
        <w:rPr>
          <w:rFonts w:ascii="Arial" w:hAnsi="Arial"/>
          <w:color w:val="000000"/>
          <w:sz w:val="22"/>
        </w:rPr>
      </w:pPr>
      <w:r>
        <w:rPr>
          <w:rFonts w:ascii="Arial" w:hAnsi="Arial"/>
          <w:color w:val="000000"/>
          <w:sz w:val="22"/>
        </w:rPr>
        <w:t>(n)</w:t>
      </w:r>
    </w:p>
    <w:p>
      <w:pPr>
        <w:pStyle w:val="TextBody"/>
        <w:bidi w:val="0"/>
        <w:jc w:val="both"/>
        <w:rPr>
          <w:rFonts w:ascii="Arial" w:hAnsi="Arial"/>
          <w:color w:val="000000"/>
          <w:sz w:val="22"/>
        </w:rPr>
      </w:pPr>
      <w:r>
        <w:rPr>
          <w:rFonts w:ascii="Arial" w:hAnsi="Arial"/>
          <w:color w:val="000000"/>
          <w:sz w:val="22"/>
        </w:rPr>
        <w:t>Represents year-over-year organic revenue growth that excludes incremental revenue attributable to political media spending in Q2 2026 associated with the 2026 election cycle in our media payments business.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rpay-ex99_2.htm"/>
      <w:bookmarkStart w:id="5" w:name="ksrpayex99_2"/>
      <w:bookmarkEnd w:id="4"/>
      <w:bookmarkEnd w:id="5"/>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Q2 2026 Earnings Supplement August 2026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 Repay Holdings Corporation (“REPAY” or the “Company”) is required to file annual, quarterly and current reports, proxy statements and other information with the Securities and Exchange Commission (“SEC”) Such filings, which you may obtain for free at the SEC’s website at http://www.sec.gov, discuss some of the important risk factors that may affect REPAY’s business, results of operations and financial condition. Forward-Looking Statements This presentation (the “Presentation”) contains “forward-looking statements” within the meaning of the Private Securities Litigation Reform Act of 1995. Such statements include, but are not limited to, statements about future financial and operating results, REPAY’s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REPAY’s 2026 outlook and other financial guidance, anticipated benefits from the KUBRA acquisition, expected demand on REPAY’s product offering, including further implementation of electronic payment options and statements regarding REPAY’s market and growth opportunities, and REPAY’s business strategy and the plans and objectives of management for future operations. Such forward-looking statements are based upon the current beliefs and expectations of REPAY’s management and are inherently subject to significant business, economic and competitive uncertainties and contingencies, many of which are difficult to predict and generally beyond REPAY’s control. In addition to factors previously disclosed in REPAY’s reports filed with the SEC, including its Annual Report on Form 10-K for the year ended December 31, 2025 and Quarterly Report on Form 10-Q for the quarter ended June 30, 2026, the following factors, among others, could cause actual results and the timing of events to differ materially from the anticipated results or other expectations expressed in the forward-looking statements: the inability to integrate and/or realize the benefits of the KUBRA transaction, including expected synergies; that the KUBRA acquisition could disrupt the Company’s relationships with customers, employees or other business partners; the impact, cost and effect of actions by activist stockholders; the risk that our stockholder rights plan may delay, discourage or prevent a change of control or acquisition of the Company, even if such action may be considered beneficial by some stockholders; exposure to economic conditions and political risk affecting the consumer loan market, the receivables management industry, the utilities industry and consumer and commercial spending, including bank failures or other adverse events affecting financial institutions, inflationary pressures, evolving U.S. trade policies, or general economic slowdown; changes in the payment processing market in which REPAY competes, including with respect to its competitive landscape, technology evolution or regulatory changes; changes in the vertical markets that REPAY targets, including the regulatory environment applicable to REPAY’s clients; the ability to retain, develop and hire key personnel; risks relating to REPAY’s relationships within the payment ecosystem; risk that REPAY may not be able to execute its growth strategies, including identifying and executing acquisitions; risks relating to data security; changes in accounting policies applicable to REPAY; and the risk that REPAY may not be able to maintain effective internal controls. 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All information set forth herein speaks only as of the date hereof in the case of information about REPAY or the date of such information in the case of information from persons other than REPAY, and REPAY disclaims any intention or obligation to update any forward-looking statements as a result of developments occurring after the date of this Presentation. Forecasts and estimates regarding our industry and end markets are based on sources REPAY believes to be reliable, however there can be no assurance these forecasts and estimates will prove accurate in whole or in part. Annualized, pro forma, projected and estimated numbers are used for illustrative purpose only, are not forecasts and may not reflect actual results. Industry and Market Data The information contained herein also includes information provided by third parties, such as market research firms. Neither of REPAY nor its affiliates and any third parties that provide information to REPAY, such as market research firms, guarantee the accuracy, completeness, timeliness or availability of any information. Neither REPAY nor its affiliates and any third parties that provide information to REPAY, such as market research firms, are responsible for any errors or omissions (negligent or otherwise), regardless of the cause, or the results obtained from the use of such content. Neither REPAY nor its affiliates give any express or implied warranties, including, but not limited to, any warranties of merchantability or fitness for a particular purpose or use, and they expressly disclaim any responsibility or liability for direct, indirect, incidental, exemplary, compensatory, punitive, special or consequential damages, costs, expenses, legal fees or losses (including lost income or profits and opportunity costs) in connection with the use of the information herein. Non-GAAP Financial Measures This Presentation includes certain non-GAAP financial measures that REPAY’s management uses to evaluate its operating business, measure its performance and make strategic decisions. Adjusted EBITDA is a non-GAAP financial measure that represents net income prior to interest expense, tax expense, depreciation and amortization, as adjusted to add back certain charges deemed to not be part of normal operating expenses, non-cash and/or non-recurring charges, such as non-cash impairment loss, loss on business disposition, loss on extinguishment of debt, loss on termination of interest rate hedge, non-cash change in fair value of contingent consideration, non-cash change in fair value of assets and liabilities, share-based compensation charges, transaction expenses, restructuring and other strategic initiative costs and other non-recurring charges. Adjusted EBITDA margin is a non-GAAP financial measure that represents Adjusted EBITDA divided by GAAP revenue. Adjusted Net Income is a non-GAAP financial measure that represents net income prior to amortization of acquisition-related intangibles, as adjusted to add back certain charges deemed to not be part of normal operating expenses, non-cash and/or non-recurring charges, such as non-cash impairment loss, loss on business disposition, loss on extinguishment of debt, loss on termination of interest rate hedge, non-cash change in fair value of contingent consideration, non-cash change in fair value of assets and liabilities, share-based compensation expense, transaction expenses, restructuring and strategic initiative costs and other non-recurring charges, non-cash interest expense, net of tax effect associated with these adjustments. Adjusted Net Income is adjusted to exclude amortization of all acquisition-related intangibles as such amounts are inconsistent in amount and frequency and are significantly impacted by the timing and/or size of acquisitions. Management believes that the adjustment of acquisition-related intangible amortization supplements GAAP financial measures because it allows for greater comparability of operating performance. Although management excludes amortization from acquisition-related intangibles from REPAY’s non-GAAP expenses, management believes that it is important for investors to understand that such intangibles were recorded as part of purchase accounting and contribute to revenue generation. Organic revenue growth is a non-GAAP financial measure that represents the percentage change in the applicable metric for a fiscal period over the comparable prior fiscal period, exclusive of any incremental amount attributable to acquisitions or divestitures made in the comparable prior fiscal period or any subsequent fiscal period through the applicable current fiscal period. Any financial measure (whether GAAP or non-GAAP) that is modified by “excl. political media” or “normalized” is a non-GAAP financial measure that measures a defined growth rate exclusive of the estimated contribution from political media clients in the prior corresponding period. Free Cash Flow is a non-GAAP financial measure that represents net cash flow provided by operating activities less total capital expenditures. Free Cash Flow Conversion represents Free Cash Flow divided by Adjusted EBITDA. Adjusted Free Cash Flow is a non-GAAP financial measure that represents Free Cash Flow plus technology, merger and integration costs. Adjusted Free Cash Flow Conversion represents Adjusted Free Cash Flow divided by Adjusted EBITDA. Net leverage is a non-GAAP financial measure that represents Net Debt (Total Debt minus Cash) divided by LTM Adjusted EBITDA. LTM Adjusted EBITDA represents the sum of the Adjusted EBITDA for the four most recent fiscal quarters. Combined LTM Net Leverage represents LTM Adjusted EBITDA as of 6/30/2026 for REPAY and KUBRA adjusted for transaction-related adjustments and synergies. REPAY believes that each of the non-GAAP financial measures referenced in this paragraph provide useful information to investors and others in understanding and evaluating its operating results in the same manner as management. However, these non-GAAP financial measures are not financial measures calculated in accordance with GAAP and should not be considered as a substitute for net income, operating profit, or any other operating performance measure calculated in accordance with GAAP. Using these non-GAAP financial measures to analyze REPAY’s business has material limitations because the calculations are based on the subjective determination of management regarding the nature and classification of events and circumstances that investors may find significant. In addition, although other companies in REPAY’s industry may report measures titled with the same or similar description, such non-GAAP financial measures may be calculated differently from how REPAY calculates its non-GAAP financial measures, which reduces their overall usefulness as comparative measures. Because of these limitations, you should consider each of the non-GAAP financial measures referenced in this paragraph alongside other financial performance measures, including net income and REPAY’s other financial results presented in accordance with GAAP.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Financial Update – Q2 2026 ($MM) Organic growth is a non-GAAP financial measures. See slide 1 under “Non-GAAP Financial Measures” and slide 17 for reconciliation Gross profit margin represents gross profit / revenue Adjusted EBITDA and Adjusted EBITDA margin are non-GAAP financial measures. See slide 1 under “Non-GAAP Financial Measures” and slide 13 for reconciliation. Adjusted EBITDA margin represents adjusted EBITDA / revenue Free Cash Flow and Free Cash Flow conversion are non-GAAP financial measures. See slide 1 under “Non-GAAP Financial Measures” and slide 15 for reconciliation. Free Cash Flow conversion represents Free Cash Flow / Adjusted EBITDA 70% % Margin (2) 36% % Margin (3) 33% y/y growth 6% organic growth(1) 75% FCF conversion (4) 14% y/y growth Revenue Gross Profit Adjusted EBITDA (3) Free Cash Flow (4)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2026 Revenue and Adjusted EBITDA Margin Dynamics Incremental Revenue Political? media contributions KUBRA contributions (In $ millions) KUBRA mix impact Strategic investments in people, product, and technology Political media contributions Adjusted EBITDA Margin Revenue ~6% Organic y/y Growth(1) Natural margin mix from KUBRA’s vertical, product, and payment mix compared to core REPAY Core REPAY continues to grow Adjusted EBITDA dollars from the ramp up of new enterprise clients, while continuing to invest in technology, product, and go-to-market teams Consistent growth in core REPAY combined with strong political media contributions leading to sustained organic growth Organic growth is a non-GAAP financial measures. See slide 1 under “Non-GAAP Financial Measures” and slide 17 for reconciliation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Consumer Payments Results – Q2 2026 ($MM) Key Business Highlights Closed KUBRA acquisition in June KUBRA contributed ~$21mm of revenue, increasing ~5% year-over-year compared to June 2025 Organic revenue growth driven by the on-going ramp up of new clients Confidence in our sales and implementations We are continuing to win large enterprise clients Client relationships building with several existing REPAY and KUBRA clients interested in expanding bill presentment &amp; payment capabilities GP margins naturally impacted from KUBRA, while we are continuing to benefit from our strategic initiatives with a distribution partner and network routing optimization Gross Profit Margin 79% 73% 33% y/y growth 4% organic growth(1) 23% y/y growth Organic growth is a non-GAAP financial measures. See slide 1 under “Non-GAAP Financial Measures” and slide 17 for reconciliation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Strong sales pipeline within automotive, property management, and municipality verticals via direct sales and new integrations Continuing to see early political media spending ahead of 2026 mid-term election cycle Increased our AP Supplier Network to 731,000+ suppliers, &gt;65% y/y growth Gross Profit margins benefited from political media contributions and monetization initiatives Business Payments Results – Q2 2026 ($MM) Key Business Highlights Gross Profit Margin 69% 70% 33% y/y growth 32% y/y growth 19% growth excl. political media(1) Revenue growth excl. political media is a non-GAAP financial measure and see slide 17 for reconciliation. This represents revenue growth minus the estimated contributions related to political media in Q2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Progress on KUBRA Value Creation Roadmap Expected to be Free Cash Flow accretive(1) by 25% in 2028E Revenue Opportunities Expense Synergies Capex Savings Increase penetration into all verticals with a comprehensive end-to-end digital bill pay platform; including bill presentment, communications, payment engine, and core processing Expand KUBRA’s bill presentment and communication services to existing REPAY clients across Consumer Payment verticals Note: REPAY does not provide quantitative reconciliation of forward-looking, non-GAAP financial measures to the most directly comparable GAAP financial measure because it is difficult to reliably predict or estimate the relevant components without unreasonable effort due to future uncertainties that may potentially have significant impact on such calculations, and providing them may imply a degree of precision that would be confusing or potentially misleading Free Cash Flow accretion is a non-GAAP financial measure. See slide 1 under "Non-GAAP Financial Measures" Estimated run-rate synergies realized during 2026; excludes “expected costs to achieve synergies” Estimated run-rate synergies by 2028 Restructuring to unify duplicate corporate functions, while automating functions during integration Platform migration leading to identified operating support, maintenance, and related infrastructure cost savings Scale efficiencies with payment processing improvements Optimize to one unified platform architecture by 2028E Consolidate product investments across verticals $5+ million 2028E Estimated Run-Rate Savings(3) $15+ million $5+ million 2026E Estimated Run-Rate Savings(2) ~$8 million ~$7 million of expected costs to achieve synergies in 2026E Q2 Run-Rate Savings Realized ~$4.5 million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Integration Plan for One Platform Phased hybrid integration plan optimizes client upgrades during infrastructure unification Taking the best of best combined technologies for one payments ecosystem Feature and compliance parity essential before client feature optimization KUBRA — The Experience Platform KUBRA’s customer-facing platforms unify under the KUBRA HQ+ platform KUBRA’s market-leading capabilities continue offering: Bill Payment Workflows Customer Experience &amp; Communications Biller Configuration &amp; Onboarding Verification Vault, Identity Management, &amp; Data Composition REPAY — The Payments and RCS Engine REPAY’s infrastructure powers the money movement: Payment processing across all modalities Multi-network support for every channel Omni-channel delivery (web, mobile, IVR, API) Enterprise-grade uptime &amp; scale Intelligent routing Bringing It Together Unified APIs connect KUBRA's experience platform to REPAY's payments engine Planned seamless client upgrades phased over 18–24 months AI-assisted engineering accelerates upgrade plans without compromising quality One platform for scale  Enhanced client experience A stronger foundation for growth</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Balance Sheet Liquidity and Net Leverage Total liquidity represents cash balance plus the undrawn revolver facility Net Leverage is a non-GAAP financial measure. See slide 1 under "Non-GAAP Financial Measures“ Combined LTM Net Leverage represents LTM Adjusted EBITDA as of 6/30/2026 adjusted for transaction-related adjustments and synergies Liquidity (1) (In $ millions) Strong Q2 cash generation Continued FCF generation to support deleverage &amp; capital allocation priorities Focused on Maintaining Significant Liquidity Business continues to show high cash flow conversion Continued investments in organic growth as we execute on integration plans and synergy realization Preserve liquidity and profitability through: Hiring focused on revenue generating &amp; client supporting roles Limited discretionary expenses Committed to Prudently Managing Leverage Target to deleverage below 3.0x within 18 months of closing KUBRA acquisition Total Outstanding Debt comprised of: $288 million 2029 Convertible Notes with 2.875% coupon $500 million 2033 Senior Secured Term Loan with SOFR plus 5.5% interest rate $100 million revolver facility provides flexibility for net working capital needs and potential debt maturities Net Leverage (2) &lt; (3) Proven ability to reduce leverage following prior acquisitions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FY 2026 Outlook REVENUE ADJUSTED EBITDA FREE CASH FLOW CONVERSION (2) $490 – $500MM $168.5 – $176MM 30% REPAY reiterates its previously updated (1) outlook for full year 2026, which includes 7 months of KUBRA contribution ~35% Margins Reported Growth ~60% Organic Growth 10%-12% Normalized Growth 7%-9% Note: REPAY does not provide quantitative reconciliation of forward-looking, non-GAAP financial measures such as forecasted Organic Revenue Growth, Normalized Revenue Growth, Adjusted EBITDA, Free Cash Flow, Adjusted Free Cash Flow, Free Cash Flow Conversion, and Adjusted Free Cash Flow Conversion to the most directly comparable GAAP financial measure because it is difficult to reliably predict or estimate the relevant components without unreasonable effort due to future uncertainties that may potentially have significant impact on such calculations, and providing them may imply a degree of precision that would be confusing or potentially misleading REPAY provided updated outlook when KUBRA acquisition closed on 6/1/2026 Free Cash Flow Conversion represents Free Cash Flow / Adjusted EBITDA Adjusted Free Cash Flow and Adjusted Free Cash Flow Conversion are non-GAAP financial measures. See slide 1 under “Non-GAAP Financial Measures.” Adjusted Free Cash Flow represents Free Cash Flow plus in year technology, merger, and integration costs associated with synergy realization. Adjusted Free Cash Flow Conversion represents Adjusted Free Cash Flow divided by Adjusted EBITDA. ADJUSTED FREE CASH FLOW CONVERSION (3) 35%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History of Sustainable Growth and Free Cash Flow Generation Gross Profit (1) Revenue (1) Free Cash Flow (2) Adjusted EBITDA(2) (In $ Millions) (In $ Millions) (In $ Millions) (In $ Millions) 15% CAGR Consumer Payments Business Payments Consolidated Consolidated totals include the elimination of intersegment revenues Adjusted EBITDA and Free Cash Flow are non-GAAP financial measures. See slide 1 under “Non-GAAP Financial Measures” and slides 13 &amp; 15 for reconciliations. For historical periods shown with respect to Adjusted EBITDA, see the reconciliations provided in the Company’s previous reported earnings releases and filings on Form 10-K or Form 10-Q with respect to such period ended. 14% CAGR 12% CAGR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2026 Financial Update Note: Not meaningful (NM) for comparison Operating expenses includes SG&amp;A and expenses associated with non-cash impairment loss, the change in fair value of tax receivable liability, change in fair value of contingent consideration, loss on extinguishment of debt, and other income / expenses See “Adjusted EBITDA Reconciliation” on slide 13 for reconciliation of Adjusted EBITDA to its most comparable GAAP measure See “Adjusted Net Income Reconciliation” on slide 14 for reconciliation of Adjusted Net Income to its most comparable GAAP measure See “Free Cash Flow Reconciliation” on slide 15 for reconciliation of Free Cash Flow and Adjusted Free Cash Flow to its most comparable GAAP measure THREE MONTHS ENDED JUNE 30 CHANGE $MM 2026 2025 AMOUNT %           Revenue $80.8 $77.3 $3.5 4% Costs of Services 19.3 18.7 0.6 3% Gross Profit $61.5 $58.7 $2.9 5% Operating Expenses(1) 40.4 140.6 (100.2) NM EBITDA $21.1 ($82.0) $103.1 NM Depreciation and Amortization 27.6 25.5 2.2 8% Interest (Income) (0.3) (1.2) 0.9 NM Interest Expense 8.0 3.1 4.9 NM Income Tax Expense (Benefit) (2.7) (1.3) (1.4) NM Net Income (Loss) ($11.5) ($108.0) $96.5 NM Adjusted EBITDA(2) $36.3 $31.8 $4.5 14% Adjusted Net Income(3) $17.9 $19.1 ($1.2) (6%) Free Cash Flow(4) $27.4 $22.6 $4.8 21% Adjusted Free Cash Flow(4) $29.3 $22.6 $6.7 30%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2026 Adjusted EBITDA Reconciliation For the three months ended June 30, 2026, reflects amortization of client relationships, non-compete agreement, software, and channel relationship intangibles acquired through the Business Combination, and client relationships, non-compete agreement, and software intangibles acquired through our acquisitions of TriSource, APS, Ventanex, cPayPlus, CPS, BillingTree, Kontrol, Payix and KUBRA. For the three months ended June 30, 2025, reflects amortization of client relationships, non-compete agreement, software, and channel relationship intangibles acquired through the Business Combination, and client relationships, non-compete agreement, and software intangibles acquired through our acquisitions of TriSource, APS, Ventanex, cPayPlus, CPS, BillingTree, Kontrol and Payix. This adjustment excludes the amortization of other intangible assets which were acquired in the regular course of business, such as capitalized internally developed software and purchased software. Reflects non-cash goodwill impairment loss primarily related to the Consumer Payments segment. For the three months ended June 30, 2026, reflects a loss on the extinguishment of the revolving credit facility, net of a write-off of debt issuance costs relating to the principal. For the three months ended June 30, 2025, reflects a gain on the repurchase of 2026 Notes principal, net of a write-off of debt issuance costs relating to the repurchased principal. Reflects the changes in management’s estimates of the fair value of the liability relating to the Tax Receivable Agreement. Represents compensation expense associated with equity compensation plans. Primarily consists of (i) during the three months ended June 30, 2026, professional service fees and other costs incurred in connection with the acquisition of KUBRA and (ii) during the three months ended June 30, 2025, professional service fees and other costs incurred in connection with prior transactions. Reflects costs associated with reorganization of operations, consulting fees related to processing services and other operational improvements, including restructuring and integration activities related to acquired businesses, that were not in the ordinary course. Reflects franchise taxes and other non-income based taxes, non-recurring legal and other litigation expenses and payments made to third-parties in connection with our IT security and personnel. $MM Q2 2026 Q2 2025 Net Income (Loss) ($11.5) ($108.0) Interest (Income) (0.3) (1.2) Interest Expense 8.0 3.1 Depreciation and Amortization(1) 27.6 25.5 Income Tax Expense (Benefit) (2.7) (1.3) EBITDA $21.1 ($82.0) Non-cash impairment loss (2) – 103.8 (Gain) loss on extinguishment of debt(3) 1.0 – Non-cash change in fair value of assets and liabilities(4) 2.5 2.5 Share-based compensation expense(5) 4.7 3.0 Transaction expenses(6) 2.8 0.4 Restructuring and other strategic initiative costs(7) 2.1 2.7 Other non-recurring charges(8) 2.0 1.3 Adjusted EBITDA $36.3 $31.8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2026 Adjusted Net Income Reconciliation For the three months ended June 30, 2026, reflects amortization of client relationships, non-compete agreement, software, and channel relationship intangibles acquired through the Business Combination, and client relationships, non-compete agreement, and software intangibles acquired through our acquisitions of TriSource, APS, Ventanex, cPayPlus, CPS, BillingTree, Kontrol, Payix and KUBRA. For the three months ended June 30, 2025, reflects amortization of client relationships, non-compete agreement, software, and channel relationship intangibles acquired through the Business Combination, and client relationships, non-compete agreement, and software intangibles acquired through our acquisitions of TriSource, APS, Ventanex, cPayPlus, CPS, BillingTree, Kontrol and Payix. This adjustment excludes the amortization of other intangible assets which were acquired in the regular course of business, such as capitalized internally developed software and purchased software. Reflects non-cash goodwill impairment loss primarily related to the Consumer Payments segment. For the three months ended June 30, 2026, reflects a loss on the extinguishment of the revolving credit facility, net of a write-off of debt issuance costs relating to the principal. For the three months ended June 30, 2025, reflects a gain on the repurchase of 2026 Notes principal, net of a write-off of debt issuance costs relating to the repurchased principal. Reflects the changes in management’s estimates of the fair value of the liability relating to the Tax Receivable Agreement. Represents compensation expense associated with equity compensation plans. Primarily consists of (i) during the three months ended June 30, 2026, professional service fees and other costs incurred in connection with the acquisition of KUBRA and (ii) during the three months ended June 30, 2025, professional service fees and other costs incurred in connection with prior transactions. Reflects costs associated with reorganization of operations, consulting fees related to processing services and other operational improvements, including restructuring and integration activities related to acquired businesses, that were not in the ordinary course. Reflects franchise taxes and other non-income based taxes, non-recurring legal and other litigation expenses and payments made to third-parties in connection with our IT security and personnel. Represents amortization of non-cash deferred debt issuance costs. Represents pro forma income tax adjustment effect associated with items adjusted above. ($MM) Q2 2026 Q2 2025 Net Income (Loss)   ($11.5) ($108.0) Amortization of acquisition-related intangibles(1)   22.0 19.5 Non-cash impairment loss (2)   – 103.8 Gain on extinguishment of debt(3)   1.0 – Non-cash change in fair value of assets and liabilities(4)   2.5 2.5 Share-based compensation expense(5)   4.7 3.0 Transaction expenses(6)   2.8 0.4 Restructuring and other strategic initiative costs(7)   2.1 2.7 Other non-recurring charges(8)   2.0 1.3 Non-cash interest expense(9)   0.5 0.8 Pro forma taxes at effective rate(10) (8.2) (7.0) Adjusted Net Income   $17.9 $19.1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Free Cash Flow Reconciliation 2021 2022 2023 2024 2025 2026 $MM Q1 Q2 Q3 Q4 Q1 Q2 Q3 Q4 Q1 Q2 Q3 Q4 Q1 Q2 Q3 Q4 Q1 Q2 Q3 Q4 Q1 Q2 Net Cash provided by Operating Activities $4.8 $12.1 $14.6 $21.8 $13.8 $13.3 $25.3 $21.8 $20.8 $20.0 $28.0 $34.9 $24.8 $31.0 $60.1 $34.3 $2.5 $33.1 $32.2 $23.3 $16.8 $40.2 Capital expenditures                                             Cash paid for property and equipment (0.6) (0.3) (0.9) (0.9) (0.6) (1.3) (0.8) (0.6) (0.5) 0.4 (0.9) (0.2) (0.1) (0.5) (0.2) (0.2) (0.1) 0.1 (0.1) (0.1) (0.1) (2.2) Cash paid for capitalized software development costs (1) (4.6) (5.2) (5.2) (5.7) (7.0) (5.1) (8.7) (7.4) (13.2) (10.4) (13.1) (12.9) (11.0) (11.2) (11.0) (10.6) (10.4) (10.5) (11.3) (9.5) (11.3) (10.7) Total capital expenditures (5.2) (5.5) (6.1) (6.7) (7.6) (6.3) (9.5) (7.9) (13.7) (10.0) (14.0) (13.1) (11.1) (11.7) (11.2) (10.8) (10.5) (10.5) (11.4) (9.5) (11.4) (12.9) Free Cash Flow ($0.4) $6.6 $8.5 $15.2 $6.2 $7.0 $15.9 $13.9 $7.1 $10.0 $13.9 $21.8 $13.7 $19.3 $48.8 $23.5 ($8.0) $22.6 $20.8 $13.8 $5.4 $27.4 Technology, merger, and integration costs n/a n/a n/a n/a n/a n/a n/a n/a n/a n/a n/a n/a n/a n/a n/a n/a n/a n/a n/a n/a 0.4 1.9 Adjusted Free Cash Flow (2) ($0.4) $6.6 $8.5 $15.2 $6.2 $7.0 $15.9 $13.9 $7.1 $10.0 $13.9 $21.8 $13.7 $19.3 $48.8 $23.5 ($8.0) $22.6 $20.8 $13.8 $5.8 $29.3 Adjusted EBITDA $20.5 $20.4 $24.5 $27.8 $29.3 $27.6 $31.7 $35.9 $30.9 $30.3 $31.9 $33.5 $35.5 $33.7 $35.1 $36.5 $33.2 $31.8 $31.2 $32.4 $34.4 $36.3 Free Cash Flow Conversion(3) (2%) 32% 35% 54% 21% 25% 50% 39% 23% 33% 44% 65% 38% 57% 139% 64% (24%) 71% 67% 43% 16% 75% Adjusted FCF Conversion(2) (2%) 32% 35% 54% 21% 25% 50% 39% 23% 33% 44% 65% 38% 57% 139% 64% (24%) 71% 67% 43% 17% 81% Historical periods beginning Q3 2023 reflect cash paid for intangibles assets that exclude acquisition costs that are capitalized as channel relationships Adjusted Free Cash Flow represents Free Cash Flow plus in year technology, merger, and integration costs associated with synergy realization. Adjusted Free Cash Flow Conversion represents Adjusted Free Cash Flow divided by Adjusted EBITDA Represents Free Cash Flow / Adjusted EBITDA Full Year $MM 2022 2023 2024 2025 Net Cash provided by Operating Activities $74.2 $103.6 $150.1 $91.1 Capital expenditures     Cash paid for property and equipment (3.2) (0.7) (1.0) (0.3) Cash paid for capitalized software development costs (1) (33.6) (50.1) (43.9) (41.7) Total capital expenditures (36.8) (50.8) (44.9) (42.0) Free Cash Flow $37.4 $52.8 $105.2 $49.1 Adjusted EBITDA $124.5 $126.8 $140.8 $128.6 Free Cash Flow Conversion(3) 30% 42% 75% 38%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Depreciation and Amortization Detail Note Adjusted Net Income is adjusted to exclude amortization of all acquisition-related intangibles as such amounts are inconsistent in amount and frequency and are significantly impacted by the timing and/or size of acquisitions (see corresponding adjustments in the reconciliation of net income to Adjusted Net Income presented above). Management believes that the adjustment of acquisition-related intangible amortization supplements GAAP financial measures because it allows for greater comparability of operating performance. Although REPAY excludes amortization from acquisition-related intangibles from its non-GAAP expenses, management believes that it is important for investors to understand that such intangibles were recorded as part of purchase accounting and contribute to revenue generation. Amortization of intangibles that relate to past acquisitions will recur in future periods until such intangibles have been fully amortized. Any future acquisitions may result in the amortization of additional intangibles $MM Q2 2026 Q2 2025 Acquisition-related intangibles $22.0 $19.5 Software 3.8 5.8 Amortization $25.8 $25.3 Depreciation 1.8 0.2 Total Depreciation and Amortization $27.6 $25.5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2026 Revenue Growth Reconciliations Q2 2026 $MM Consumer Payments Business Payments Total Company Revenue Growth 33% 32% 33% Acquisitions / (Divestitures) impact 29% n/a 27% Organic Revenue Growth 4% 32% 6% Political Media contribution / (impact) n/a 13% 2% Organic Revenue Growth, excl. political media 4% 19% 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Revenue Growth Reconciliation 2023 2024 2025 2026 $MM Q1 Q2 Q3 Q4 FY Q1 Q2 Q3 Q4 FY Q1 Q2 Q3 Q4 FY Q1 Q2 Revenue Growth 10% 6% 4% 5% 6% 8% 4% 6% 3% 6% (4%) 1% (2%) &lt;1% (1%) 4% 33% Acquisitions / (Divestitures) impact (2%) (3%) (4%) (5%) (4%) (2%) n/a n/a n/a (&lt;1%) n/a n/a n/a n/a n/a n/a 27% Organic Revenue Growth 12% 9% 8% 10% 10% 10% 4% 6% 3% 6% (4%) 1% (2%) &lt;1% (1%) 4% 6% Political Media contribution / (impact) (&lt;1%) (2%) (3%) (4%) (2%) 1% 1% 7% 9% 5% (&lt;1%) (1%) (7%) (10%) (4%) &lt;1% 2% Organic Revenue Growth excl. political media 12% 11% 11% 14% 12% 9% 3% (1%) (5%) 1% (4%) 2% 5% 10% 3% 4% 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Historical Segment Details Note: Historical periods reflect the reclassification of revenue and gross profit between Consumer Payments and Business Payments segments 2022 2023 2024 2025 2026 Full Year $MM Q1 Q2 Q3 Q4 Q1 Q2 Q3 Q4 Q1 Q2 Q3 Q4 Q1 Q2 Q3 Q4 Q1 Q2 2022 2023 2024 2025 Consumer Payments $61.1 $59.8 $63.0 $64.3 $69.9 $65.9 $68.7 $71.1 $76.1 $69.3 $69.2 $66.3 $71.9 $70.5 $71.7 $71.7 $75.1 $93.7 $248.2 $275.7 $281.0 $285.9 Business Payments 8.9 9.9 11.4 12.3 8.7 9.8 9.7 9.9 9.7 10.6 15.3 17.4 11.0 10.9 12.0 14.5 13.0 14.5 42.6 38.1 52.9 48.4 Intercompany eliminations (2.4) (2.3) (2.9) (4.0) (4.1) (4.0) (4.1) (5.0) (5.1) (5.0) (5.3) (5.4) (5.6) (5.8) (6.0) (7.6) (7.3) (7.5) (11.6) (17.1) (20.8) (25.0) Revenue $67.6 $67.4 $71.6 $72.7 $74.5 $71.8 $74.3 $76.0 $80.7 $74.9 $79.1 $78.3 $77.3 $75.6 $77.7 $78.6 $80.8 $100.7 $279.2 $296.6 $313.0 $309.3 Consumer Payments $47.5 $46.1 $49.7 $53.1 $54.6 $51.7 $53.6 $56.2 $59.6 $55.5 $54.9 $53.1 $56.7 $55.4 $55.6 $56.1 $60.3 $68.0 $195.5 $216.1 $223.1 $223.8 Business Payments 5.9 7.0 8.1 8.6 6.0 7.2 7.2 7.5 7.0 8.0 12.0 12.1 7.6 7.6 8.2 9.9 8.5 10.1 30.4 28.0 39.1 33.3 Intercompany eliminations (2.4) (2.3) (2.9) (4.0) (4.1) (4.0) (4.1) (5.0) (5.1) (5.0) (5.3) (5.4) (5.6) (5.8) (6.0) (7.6) (7.3) (7.5) (11.6) (17.1) (20.8) (25.0) Gross Profit $51.0 $50.7 $54.9 $57.8 $56.6 $54.9 $56.7 $58.7 $61.5 $58.6 $61.6 $59.7 $58.7 $57.2 $57.8 $58.3 $61.5 $70.6 $214.4 $226.9 $241.4 $232.0 Consumer Payments 77.8% 77.0% 79.0% 82.6% 78.1% 78.4% 78.0% 79.0% 78.3% 80.2% 79.3% 80.0% 78.8% 78.7% 77.5% 78.1% 80.3% 72.6% 78.8% 78.4% 79.4% 78.3% Business Payments 66.5% 70.0% 70.4% 70.1% 69.5% 73.3% 74.1% 76.6% 72.8% 75.7% 78.5% 69.5% 68.8% 69.3% 68.6% 68.6% 65.2% 69.9% 71.4% 73.5% 74.0% 68.8% Gross Profit Margin 75.5% 75.2% 76.8% 79.5% 75.9% 76.5% 76.3% 77.3% 76.2% 78.2% 77.8% 76.3% 75.9% 75.7% 74.4% 74.2% 76.2% 70.1% 76.8% 76.5% 77.1% 75.0%</w:t>
      </w:r>
    </w:p>
    <w:p>
      <w:pPr>
        <w:pStyle w:val="TextBody"/>
        <w:bidi w:val="0"/>
        <w:jc w:val="center"/>
        <w:rPr/>
      </w:pPr>
      <w:bookmarkStart w:id="6" w:name="rpay-ex99_3.htm"/>
      <w:bookmarkStart w:id="7" w:name="ksrpayex99_3"/>
      <w:bookmarkEnd w:id="6"/>
      <w:bookmarkEnd w:id="7"/>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Investor Presentation Exhibit 99.3 August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 On July 11, 2019 (the “Closing Date”), Thunder Bridge Acquisition Ltd. (“Thunder Bridge”) and Hawk Parent Holdings LLC (“Hawk Parent”) completed a business combination (the “Business Combination”) under which Thunder Bridge acquired Hawk Parent, upon which Thunder Bridge changed its name to Repay Holdings Corporation (“REPAY” or the “Company”). The Company’s filings with the Securities and Exchange Commission (“SEC”), which you may obtain for free at the SEC’s website at http://www.sec.gov, discuss some of the important risk factors that may affect REPAY’s business, results of operations and financial condition. Forward-Looking Statements This presentation (the “Presentation”) contains “forward-looking statements” within the meaning of the Private Securities Litigation Reform Act of 1995. Such statements include, but are not limited to, statements about future financial and operating results, REPAY’s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expected demand on REPAY’s product offering, including further implementation of electronic payment options and statements regarding REPAY’s market and growth opportunities, and our business strategy and the plans and objectives of management for future operations. Such forward-looking statements are based upon the current beliefs and expectations of REPAY’s management and are inherently subject to significant business, economic and competitive uncertainties and contingencies, many of which are difficult to predict and generally beyond our control. In addition to factors previously disclosed in REPAY’s reports filed with the SEC, including our Annual Report on Form 10-K for the year ended December 31, 2025 and Quarterly Report on Form 10-Q for the quarter ended June 30, 2026, the following factors, among others, could cause actual results and the timing of events to differ materially from the anticipated results or other expectations expressed in the forward-looking statements: the inability to integrate and/or realize the benefits of the KUBRA transaction, including expected synergies; that the KUBRA acquisition could disrupt the Company’s relationships with customers, employees or other business partners; the impact of actions by activist stockholders; exposure to economic conditions and political risk affecting the consumer loan market, the receivables management industry, the utilities industry and consumer and commercial spending, including bank failures or other adverse events affecting financial institutions, inflationary pressures, evolving U.S. trade policies, or general economic slowdown; changes in the payment processing market in which REPAY competes, including with respect to its competitive landscape, technology evolution or regulatory changes; changes in the vertical markets that REPAY targets, including the regulatory environment applicable to REPAY’s clients; the ability to retain, develop and hire key personnel; risks relating to REPAY’s relationships within the payment ecosystem; risk that REPAY may not be able to execute its growth strategies, including identifying and executing acquisitions; risks relating to data security; changes in accounting policies applicable to REPAY; and the risk that REPAY may not be able to maintain effective internal controls. 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All information set forth herein speaks only as of the date hereof in the case of information about us or the date of such information in the case of information from persons other than us, and we disclaim any intention or obligation to update any forward-looking statements as a result of developments occurring after the date of this communication. Forecasts and estimates regarding our industry and end markets are based on sources we believe to be reliable, however there can be no assurance these forecasts and estimates will prove accurate in whole or in part. Projected and estimated numbers are used for illustrative purpose only, are not forecasts and may not reflect actual results. Industry and Market Data The information contained herein also includes information provided by third parties, such as market research firms. Neither of REPAY nor its affiliates and any third parties that provide information to REPAY, such as market research firms, guarantee the accuracy, completeness, timeliness or availability of any information. Neither REPAY nor its affiliates and any third parties that provide information to REPAY, such as market research firms, are responsible for any errors or omissions (negligent or otherwise), regardless of the cause, or the results obtained from the use of such content. Neither REPAY nor its affiliates give any express or implied warranties, including, but not limited to, any warranties of merchantability or fitness for a particular purpose or use, and they expressly disclaim any responsibility or liability for direct, indirect, incidental, exemplary, compensatory, punitive, special or consequential damages, costs, expenses, legal fees or losses (including lost income or profits and opportunity costs) in connection with the use of the information herein. Non-GAAP Financial Measures This Presentation includes certain non-GAAP financial measures that REPAY’s management uses to evaluate its operating business, measure its performance and make strategic decisions. Adjusted EBITDA is a non-GAAP financial measure that represents net income prior to interest expense, tax expense, depreciation and amortization, as adjusted to add back certain charges deemed not to be part of normal operating expenses, non-cash and/or non-recurring charges, such as non-cash impairment loss, loss on extinguishment of debt, loss on termination of interest rate hedge, non-cash change in fair value of contingent consideration, non-cash change in fair value of assets and liabilities, non-cash change in fair value of warrant liabilities; share-based compensation charges, transaction expenses, restructuring and other strategic initiative costs and other non-recurring charges. Free Cash Flow is a non-GAAP financial measure that represents net cash flow provided by operating activities less total capital expenditures. Any financial measure (whether GAAP or non-GAAP) that is modified by “excl. political media” is a non-GAAP financial measure that measures a defined growth rate exclusive of the estimated contribution from political media clients in the prior corresponding period. Free Cash Flow Conversion represents Free Cash Flow divided by Adjusted EBITDA. REPAY believes that each of the non-GAAP financial measures referenced in this paragraph provide useful information to investors and others in understanding and evaluating its operating results in the same manner as management. However, these non-GAAP financial measures are not financial measures calculated in accordance with GAAP and should not be considered as a substitute for net income, operating profit, or any other operating performance measure calculated in accordance with GAAP. Using these non-GAAP financial measures to analyze REPAY’s business has material limitations because the calculations are based on the subjective determination of management regarding the nature and classification of events and circumstances that investors may find significant. In addition, although other companies in REPAY’s industry may report measures titled with the same or similar descriptions, such non-GAAP financial measures may be calculated differently from how REPAY calculates its non-GAAP financial measures, which reduces their overall usefulness as comparative measures. Because of these limitations, you should consider each of the non-GAAP financial measures referenced in this paragraph alongside other financial performance measures, including net income and REPAY’s other financial results presented in accordance with GAAP.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 Agenda Introduction to REPAY REPAY Investment Highlights REPAY Financial Overview 1 2 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Introduction ?to REPAY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REPAY’s proprietary, integrated payment technology provides a comprehensive? end-to-end platform offering digital payments, bill design &amp; presentment, and communication services for clients, while enhancing the overall experience for consumers and businesses REPAY provides integrated payment processing solutions to verticals that have specific transaction processing needs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AUTO FINANCE PERSONAL FINANCE AR AUTOMATION FINANCIAL INSTITUTIONS HEALTHCARE MORTGAGE ARM AP AUTOMATION Your Industry. Our Expertise. CONSUMER PAYMENTS (INCLUDING KUBRA) BUSINESS PAYMENTS UTILITIES GOVERNMENT INSURANCE OTHER ADJACENT VERTICALS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Who We Are Communication Services Bill Design &amp; Presentment Payment Acceptance Clearing &amp; Settlement Payment Gateway API Integrations Instant Funding Credit/Debit Processing ACH Processing eCash New &amp; Emerging Payments Virtual Terminal Web Portal / Online Bill Payment POS Equipment Mobile App &amp; Digital Wallets Text Pay IVR / Phone Pay Payment capabilities are directly embedded in our client’s core systems Mobile Alerts Proprietary back-end Clearing &amp; Settlement platform, driving payment optimization and operating leverage Automated Messaging Services Utility Mapping &amp; Data Analytics Preparation &amp; distribution of billing, statements, and required regulatory notices KUBRA expanded platform capabilities Omnichannel offering allows consumers to pay anywhere, any time using all Modalities REPAY provides an integrated bill payment and customer communications lifecycle across 18+ attractive verticals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LONG-TERM GROWTH ORGANIC GROWTH M&amp;A CATALYSTS Deepen presence in ?existing verticals Expand into new verticals/geographies Strategic acquisitions extending broader solution suite Driving Shareholder Value 1) Third-party research and management estimates as of 6/30/2026 Secular trends away from cash and check toward digital payments Transaction growth ?in key verticals Further penetrate ?existing clients ~$7.9Tn(1)?Creates long runway for growth Deep presence in key verticals creates significant defensibility Highly attractive financial model with strong Free Cash Flow generation = + KUBRA expanded platform capabilities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Our Strong Execution and Momentum TOTAL ADDRESSABLE MARKET ~$535Bn ~$7.9Tn(3) SUPPLIER NETWORK _ 731,000+ # OF ISV INTEGRATIONS 53 352 Delivering Superior Results (4) Second Quarter 2026(2) July 2019(1) REVENUE CAGR GROSS PROFIT CAGR ADJ. EBITDA CAGR +9% +9% As of 7/11/2019 (the closing date of the Business Combination As of 6/30/2026 Third-party research and management estimates Represents REPAY CAGR from 2021A-2025A prior to KUBRA acquisition. Adjusted EBITDA and Free Cash Flow are non-GAAP measures. See slide 1 under "Non-GAAP Financial Measures. See slide 30 for Adjusted EBITDA reconciliation and slide 31 for Free Cash Flow reconciliation +8% FREE CASH FLOW CAGR +13%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Driving Value for Shareholders Fast growing, large and underpenetrated market opportunity Deep presence in key verticals drives competitive moat Highly strategic and diverse client base Multiple avenues for long term, durable growth Experienced board and management team Highly attractive and profitable financial model Accelerating cash flow generation Strong balance sheet Investment Rationale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 REPAY Investment Highlights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A leading, ?omnichannel payment technology provider Fast growing and underpenetrated market opportunity Vertically integrated payment technology platform driving frictionless bill payment experience Experienced board with deep payments expertise Multiple avenues for long-term growth Highly strategic and diverse client base 2 3 4 5 6 Key software integrations enabling unique distribution model Business Strengths and Strategies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We are Capitalizing on Large, Underserved Market Opportunities REPAY’s existing verticals represent ~$7.9Tn(1) of projected annual total payment volume END MARKET OPPORTUNITIES ($ in Bn) 1) Third-party research and management estimates as of 6/30/2026 $7.9tn TAM(1) Despite growing annual payment volume, REPAY still serves &lt;1% of total payment TAM REPAY’s Total Payment Volume (1) Consumer Payments &amp; KUBRA Business Payments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Key end markets have been underserved by payment ?technology and service providers Credit cards are not permitted in loan repayment ?which has resulted in overall low card penetration CLIENTS SERVING REPAY’S MARKETS ?ARE FACING INCREASING DEMAND ?FROM CUSTOMERS They want electronic and omnichannel ?payment solutions LOAN REPAYMENT, B2B, AND ?NON-DISCRENTIONARY REGULATED MARKETS Lagged behind other industry verticals in moving to electronic payments &amp; communication CONSUMER PAYMENTS BUSINESS ?PAYMENTS B2B payments have traditionally been made ?via check or ACH (including AP and AR) Highly regulated communication with increasing demand for billing transparency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Card and Debit Payments Underpenetrated in Our Verticals The Nilson Report. Represents debit and credit as a percentage of all U.S. consumer payment systems, including various forms of paper, card, and electronic payment methods Third-party research and management estimates. Personal Loans and Mortgage verticals represent debit card only. Across REPAY’s Verticals(2) Card Payment Penetration ?Across Industries(1) 1 &lt;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REPAY Has Built a Leading End-to-End Technology Platform Proprietary, integrated payment technology platform reduces ?complexity for a unified commerce experience Pay Anywhere, Any Way, Any Time Businesses and Consumers Clients 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REPAY Has Built a Leading End-to-End Technology Platform Value Proposition to REPAY’s Clients In-house preparation &amp; distribution of billing, including eBilling Accelerated payment cycle (ability to lend more / faster) through card processing Faster access to funds to help businesses?with working capital 24 / 7 payment acceptance through ?“always open” omnichannel offering Direct software integrations into loan,?dealer, and business management systems reduces operational complexity for client Improved regulatory compliance through fewer ACH returns 2 Clients Pay Anywhere, Any Way, Any Time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Value Proposition to REPAY’s Clients’ ?End Customers Self-service capabilities through ability to pay anywhere, any way and any time, 24 / 7 Option to make real-time payments through use of card transactions Immediate feedback that payment ?has been processed Omnichannel payment methods ?(e.g., Web, Mobile, IVR, Text) Fewer ancillary charges (e.g., NSF fees) for borrowers through automatic recurring online debit card payments 2 Pay Anywhere, Any Way, Any Time Businesses and Consumers REPAY Has Built a Leading End-to-End Technology Platform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Consumer Payments Offering Omnichannel Capabilities across Modalities 2 Clients in REPAY’s verticals look to partner with innovative vendors that can provide evolving payment functionality and acceptance solutions Credit and Debit Card Processing ACH Processing Instant Funding eCash New &amp; Emerging Payments Virtual Terminal IVR / Phone Pay Mobile Application Web Portal / Online Bill Pay Hosted Payment Page POS Equipment Text Pay PAYMENT MODALITIES PAYMENT CHANNELS REPRESENTATIVE CLIENTS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Powerful Business Payments Offering 2 One-stop-shop B2B payments solutions provider Automated Reporting ?and Reconciliation Multiple Payment Options Including Virtual Card and Cross Border Vendor Management Client Rebates Deep ERP ?Integrations Multiple Payment Methods Tracking and Reconciliation Highly Secure ACCOUNTS RECEIVABLE AUTOMATION ACCOUNTS PAYABLE AUTOMATION TotalPay Solution Cash Inflow Cash Outflow Buyers Suppliers One-stop-shop B2B payments solutions provider REPRESENTATIVE CLIENTS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Key Software Integrations Accelerate Distribution REPAY leverages a vertically tiered sales strategy supplemented by software integrations to drive new client acquisitions Tier 3 (Direct Sales) $5MM+ Monthly Volume Tier 2 (Direct Sales) $1MM – $5MM Monthly Volume Tier 1 (Call Center) &lt;$1MM Monthly Volume Sales Support Team NUMBER OF SOFTWARE ?INTEGRATION PARTNERS Sales Strategy / Distribution Model 3 32% CAGR(1) Software Integrations CAGR is from 2015A – Q2 2026A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Attractive and Diverse Client Base Across Key Verticals REPAY’s platform provides significant value to our clients offering solutions across a variety of industry verticals Healthcare Other ARM B2B Loan ?Repayment ~20%?of card payment?volume(2) 4 Represents combined 2025 REPAY and KUBRA segment revenue percentage of total revenue after any intersegment eliminations Management estimate as of 6/30/2026. Reflects the reclassification of partnerships between Consumer Payments and Business Payments segments One-stop shop B2B payments solutions provider, offering AP automation and AR merchant acquiring solutions Integrations with ~108(2) leading ERP platforms, serving a highly diversified client base across a wide range of industry verticals AP: Media, Healthcare, Home Services &amp; Property Management, Auto, Municipality, and Other AR: Manufacturing, Distribution, and Hospitality BUSINESS PAYMENTS CONSUMER PAYMENTS ~10% Combined ~90% Blue chip ISV partnerships with ~244(2) integrations, including ~54(2) from KUBRA acquisition Market leader in several niche verticals, including the following: Utilities Personal Finance Auto Finance Financial Institutions ARM Government Healthcare Mortgage Insurance Diversified Retail &amp; Other RCS: Best-in-class clearing &amp; settlement solutions for ~30(2) ISOs and owned clients Combined Revenue Mix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Demonstrated Ability to Acquire and Successfully Integrate Businesses Represents a significant opportunity to enhance organic growth in existing verticals ?and accelerate entry into new markets and services Extend Solution Set via?New Capabilities New Vertical Expansion Deepen Presence in?Existing Verticals Back-end transaction processing capabilities, which enhance M&amp;A strategy Value-add complex exception processing capabilities Expansion into the Healthcare, Automotive, Receivables Management, B2B Acquiring, B2B Healthcare, Mortgage Servicing, B2B AP Automation, BNPL verticals Accelerates expansion into Automotive, Credit Union and Receivables Management verticals THEME Demonstrated ability to source, acquire, and integrate various targets across different verticals Dedicated integration team managing platform migration for a stronger foundation for growth at scale ACQUISITIONS RATIONALE 5 2017 2019 2016 2017 * 2019 * 2020 2020 * * 2020 * 2020 * 2021 2021 * * 2021 * 2021 * 2021 * *Completed since becoming a public company * Expansion into Resilient Verticals &amp; Expand Platform Capabilities KUBRA accelerates REPAY’s strategic evolution to become a leading End-to-End Bill Payment platform at scale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Majority of growth within Consumer Payments is derived from further penetration of existing client base. Majority of growth within Business Payments is derived from acquiring new clients. Multiple Levers to Continue to Drive Growth EXPAND USAGE AND INCREASE ADOPTION (1) ACQUIRE NEW CLIENTS IN EXISTING VERTICALS (2) OPERATIONAL ?EFFICIENCIES ADDITIONAL VALUE-ADDED SERVICE OPPORTUNITIES REPAY’s leading platform &amp; attractive market opportunity position it to build on its record of robust growth &amp; profitability EXECUTE ON EXISTING BUSINESS BROADEN ADDRESSABLE MARKET AND SOLUTIONS 5 NEW VERTICAL EXPANSION EXPAND NEW AND EXISTING SOFTWARE PARTNERSHIPS STRATEGIC M&amp;A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Zachary Sadek Senior Partner, Parthenon Capital Experienced Board with Deep Payments Expertise John Morris CEO &amp; Co-Founder Peter Kight Chairman, Founder of CheckFree Former Vice Chairman, Fiserv Paul Garcia Former Chairman ?and CEO, ?Global Payments Maryann Goebel Former CIO, Fiserv Board of directors comprised of industry veterans and influential leaders in the financial services and payment industries Emnet Rios ?COO, Digital Asset 6 Richard Thornburgh Senior Advisor, Corsair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3 REPAY Financial Overview</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Financial Highlights Low volume attrition and low risk portfolio Differentiated technology platform &amp; ecosystem Deeply integrated with client base Recurring transaction / volume-based revenue SOFTWARE?INTEGRATIONS(1) 352 HISTORICAL REVENUE CAGR(2) 9% HISTORICAL GROSS PROFIT CAGR(2) 9% HISTORICAL ADJUSTED ?EBITDA CAGR(2)(3) 8% FREE CASH FLOW?CONVERSION(3) 38% REPAY’s Unique Model Translates Into A Highly Attractive Financial Profile As of 6/30/2026 CAGR is from 2021A-2025A. Represents REPAY prior to KUBRA acquisition Free Cash Flow Conversion calculated as 2025A Free Cash Flow / 2025A Adjusted EBITDA. Represents REPAY prior to KUBRA acquisition. Adjusted EBITDA and Free Cash Flow are non-GAAP measures. See slide 1 under “Non-GAAP Financial Measures” and see slides 30 and 31 for reconciliations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Revenue ($MM)(1) Gross Profit ($MM)(1)(2) Strong Profitable Growth Resilient volume growth &amp; improving card penetration, resulting in 9% CAGR Gross margin consistency from processing cost savings 9% CAGR 9% CAGR 75% 77% 77% % Margin 77% Represents REPAY prior to KUBRA acquisition Gross profit represents revenue less costs of services 75%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Adjusted EBITDA ($MM)(1) FREE CASH FLOW ($MM)(1) ...Translating into Robust Free Cash Flow Generation Highly scalable platform with attractive margins 43% 43% 45% 32% FCF Conversion(2) 30% 75% % Margin Represents REPAY prior to KUBRA acquisition. These are non-GAAP measures. See slide 1 under “Non-GAAP Financial Measures.” See slides 30 and 31 for reconciliation Free Cash Flow Conversion calculated as Free Cash Flow / Adjusted EBITDA 13% CAGR 8% CAGR 45% 42% 42% 38% Resilient cash generation from on-going opex and capex management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Consumer Payments (1) Business Payments (1) Across Our Segments 2% y/y reported growth Gross Profit Margin 79% 78% Gross Profit Margin 74% 69% ~0% y/y reported growth 22% y/y growth, excl. political media (1) (-9% reported growth) 21% y/y growth, excl. political media (1) (-15% reported growth) Represents REPAY prior to KUBRA acquisition Business Payments revenue and gross profits excl. political media are non-GAAP financial measures. See slide 1 under “Non-GAAP Financial Measures” and slide 32 for reconciliation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Adjusted EBITDA Reconciliation Reflects amortization of client relationships, non-compete agreement, software, and channel relationship intangibles acquired through the business combination with Thunder Bridge, and client relationships, non-compete agreement, and software intangibles acquired through REPAY's acquisitions of TriSource Solutions, APS Payments, Ventanex, cPayPlus, CPS Payments, BillingTree, Kontrol Payables and Payix. This adjustment excludes the amortization of other intangible assets which were acquired in the regular course of business, such as capitalized internally developed software and purchased software. Reflects the loss recognized related to the disposition of Blue Cow. For the years ended December 31, 2025 and 2024, reflects a gain on the repurchase of 2026 Notes principal, net of a write-off of debt issuance costs relating to the repurchased principal. For the year ended December 31, 2021, Reflects write-offs of debt issuance costs relating to the Term Loans. Reflects realized loss of our interest rate hedging arrangement which terminated in conjunction with the repayment of Term Loans. Reflects the changes in management’s estimates of future cash consideration to be paid in connection with prior acquisitions from the amount estimated as of the most recent balance sheet date. For the years ended December 31, 2025 and 2024, reflects non-cash goodwill impairment loss primarily related to the Consumer Payments segment and non-cash impairment loss related to operating lease ROU assets. For the year ended December 31, 2023, reflects non-cash goodwill impairment loss related to the Business Payments segment and non-cash impairment loss related to a trade name write-off of Media Payments. For the year ended December 31, 2022, reflects non-cash impairment loss related to trade names write-offs of BillingTree and Kontrol. For the year ended December 31, 2021, reflects non-cash impairment loss related to trade names write-offs of TriSource, APS, Ventanex, cPayPlus and CPS. For the years ended December 31, 2025 and 2024, reflects the changes in management’s estimates of the fair value of the liability relating to the Tax Receivable Agreement. For the year ended December 31, 2023, reflects the changes in management’s estimates of (i) the fair value of the liability relating to the Tax Receivable Agreement, and (ii) non-cash insurance reserve. For the year ended December 31, 2022 and 2021, reflects the changes in management’s estimates of the fair value of the liability relating to the Tax Receivable Agreement. Represents compensation expense associated with equity compensation plans. Primarily consists of (i) during the years ended December 31, 2025 and 2024, professional service fees incurred in connection with prior transactions, (ii) during the year ended December 31, 2023, professional service fees and other costs incurred in connection with the disposition of Blue Cow Software, (iii) during the year ended December 31, 2022, professional service fees and other costs incurred in connection with the acquisitions of BillingTree, Kontrol Payables and Payix, and (iv) during the year ended December 31, 2021, professional service fees and other costs incurred in connection with the acquisitions of Ventanex, cPayPlus, CPS, BillingTree, Kontrol and Payix, as well as professional service expenses related to the January 2021 equity and convertible notes offerings. Reflects costs associated with reorganization of operations, consulting fees related to processing services and other operational improvements, including restructuring and integration activities related to acquired businesses, that were not in the ordinary course during the years ended December 31, 2025, 2024, 2023, 2022 and 2021. Additionally, for the year ended December 31, 2022, reflects one-time severance payments. For the year ended December 31, 2025, reflects franchise taxes and other non-income based taxes, non-recurring legal and other litigation expenses and payments made to third-parties in connection with our IT security and personnel. For the year ended December 31, 2024, reflects one-time processing settlements, franchise taxes and other non-income based taxes, non-recurring legal and other litigation expenses and payments made to third-parties in connection with our IT security and personnel. For the year ended December 31, 2023, reflects payments made to third-parties in connection with an expansion of our personnel, franchise taxes and other non-income based taxes and one-time payments to certain partners. For the years ended December 31, 2022 and 2021, reflects one-time payments to certain clients and partners, payments made to third-parties in connection with a significant expansion of our personnel, franchise taxes and other non-income based taxes, other payments related to COVID-19 and non-cash rent expense. Beginning in the period ended December 31, 2023, no longer reflects non-cash rent expense. ($MM) 2021A 2022A 2023A 2024A 2025A Net Loss ($56.0) $8.7 ($117.4) ($10.3) ($271.1)             Interest Expense, net 3.7 4.2 1.0 1.9 9.9 Depreciation and Amortization(1) 89.7 107.8 103.9 103.7 102.0 Income Tax Benefit (30.7) 6.2 (2.1) (0.6) (5.9) EBITDA $6.6 $126.9 ($14.6) $94.7 ($165.0)             Loss on business disposition (2) – – 10.0 – – (Gain) / Loss on extinguishment of debt(3) 5.9 – – (13.1) (1.4) Loss on termination of interest rate hedge(4) 9.1 – – – – Non-cash change in fair value of contingent consideration(5) 5.8 (3.3) – – – Non-cash impairment loss(6) 2.2 8.1 75.8 – 242.7 Non-cash change in fair value of assets and liabilities(7) 14.1 (66.9) 7.5 14.5 13.5 Share-based compensation expense(8) 22.3 20.5 22.2 25.2 19.0 Transaction expenses(9) 19.3 19.0 8.5 2.3 1.7 Restructuring and other strategic initiative costs(10) 4.6 7.9 11.9 12.5 10.1 Other non-recurring charges(11) 3.3 12.3 5.5 4.7 7.9 Adjusted EBITDA $93.2 $124.5 $126.8 $140.8 $128.6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Free Cash Flow Reconciliation Excludes acquisition costs that are capitalized as channel relationships. Represents Free Cash Flow / Adjusted EBITDA. ($MM) 2021A 2022A 2023A 2024A 2025A Net Cash provided by Operating Activities $53.3 $74.2 $103.6 $150.1 $91.1 Capital expenditures           Cash paid for property and equipment (2.9) (3.2) (0.7) (1.0) (0.3) Cash paid for intangible assets (20.6) (33.6) (50.1) (43.9) (41.7) Total capital expenditures(1) (23.5) (36.8) (50.8) (44.9) (42.0) Free Cash Flow $29.8 $37.4 $52.8 $105.2 $49.1 Adjusted EBITDA $93.2 $124.5 $126.8 $140.8 $128.6           Free Cash Flow conversion(2) 32% 30% 42% 75% 38%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2025 Growth Reconciliation FY 2025 $MM Consumer Payments Business Payments Total Company Revenue Growth 2% (9%) (1%) Political Media contribution / (impact) n/a (31%) (4%) Revenue Growth, excl. political media 2% 22% 3% FY 2025 $MM Consumer Payments Business Payments Total Company Gross Profit Growth 0% (15%) (4%) Political Media contribution / (impact) n/a (36%) (5%) Gross Profit Growth, excl. political media 0% 21%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Thank you</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16022</Words>
  <Characters>93479</Characters>
  <CharactersWithSpaces>110424</CharactersWithSpaces>
  <Paragraphs>4254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