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3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Morrow Matthew Edward</w:t>
              </w:r>
            </w:hyperlink>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Repay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RPAY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340" w:type="dxa"/>
            <w:vAlign w:val="bottom"/>
            <w:gridSpan w:val="3"/>
            <w:vMerge w:val="continue"/>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60" w:type="dxa"/>
            <w:vAlign w:val="bottom"/>
            <w:tcBorders>
              <w:top w:val="single" w:sz="8" w:color="0000EE"/>
            </w:tcBorders>
          </w:tcPr>
          <w:p>
            <w:pPr>
              <w:spacing w:after="0"/>
              <w:rPr>
                <w:sz w:val="5"/>
                <w:szCs w:val="5"/>
                <w:color w:val="auto"/>
              </w:rPr>
            </w:pPr>
          </w:p>
        </w:tc>
        <w:tc>
          <w:tcPr>
            <w:tcW w:w="1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460" w:type="dxa"/>
            <w:vAlign w:val="bottom"/>
            <w:tcBorders>
              <w:top w:val="single" w:sz="8" w:color="0000EE"/>
              <w:bottom w:val="single" w:sz="8" w:color="9A9A9A"/>
            </w:tcBorders>
          </w:tcPr>
          <w:p>
            <w:pPr>
              <w:spacing w:after="0"/>
              <w:rPr>
                <w:sz w:val="16"/>
                <w:szCs w:val="16"/>
                <w:color w:val="auto"/>
              </w:rPr>
            </w:pPr>
          </w:p>
        </w:tc>
        <w:tc>
          <w:tcPr>
            <w:tcW w:w="100" w:type="dxa"/>
            <w:vAlign w:val="bottom"/>
            <w:tcBorders>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460" w:type="dxa"/>
            <w:vAlign w:val="bottom"/>
            <w:tcBorders>
              <w:top w:val="single" w:sz="8" w:color="EEEEEE"/>
            </w:tcBorders>
          </w:tcPr>
          <w:p>
            <w:pPr>
              <w:spacing w:after="0"/>
              <w:rPr>
                <w:sz w:val="4"/>
                <w:szCs w:val="4"/>
                <w:color w:val="auto"/>
              </w:rPr>
            </w:pPr>
          </w:p>
        </w:tc>
        <w:tc>
          <w:tcPr>
            <w:tcW w:w="100" w:type="dxa"/>
            <w:vAlign w:val="bottom"/>
            <w:tcBorders>
              <w:top w:val="single" w:sz="8" w:color="EEEEEE"/>
            </w:tcBorders>
          </w:tcPr>
          <w:p>
            <w:pPr>
              <w:spacing w:after="0"/>
              <w:rPr>
                <w:sz w:val="4"/>
                <w:szCs w:val="4"/>
                <w:color w:val="auto"/>
              </w:rPr>
            </w:pPr>
          </w:p>
        </w:tc>
        <w:tc>
          <w:tcPr>
            <w:tcW w:w="130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300" w:type="dxa"/>
            <w:vAlign w:val="bottom"/>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REPAY HOLDINGS CORPORATION</w:t>
            </w:r>
          </w:p>
        </w:tc>
        <w:tc>
          <w:tcPr>
            <w:tcW w:w="202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05/12/2026</w:t>
            </w:r>
          </w:p>
        </w:tc>
        <w:tc>
          <w:tcPr>
            <w:tcW w:w="1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3060 PEACHTREE ROAD NW, SUITE 1100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705"/>
        <w:spacing w:after="0"/>
        <w:rPr>
          <w:sz w:val="20"/>
          <w:szCs w:val="20"/>
          <w:color w:val="auto"/>
        </w:rPr>
      </w:pPr>
      <w:r>
        <w:rPr>
          <w:rFonts w:ascii="Times New Roman" w:cs="Times New Roman" w:eastAsia="Times New Roman" w:hAnsi="Times New Roman"/>
          <w:sz w:val="17"/>
          <w:szCs w:val="17"/>
          <w:color w:val="0000FF"/>
        </w:rPr>
        <w:t>Executive Vice President</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4"/>
                <w:szCs w:val="14"/>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ATLANTA</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GA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30305</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4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ind w:left="900"/>
              <w:spacing w:after="0"/>
              <w:rPr>
                <w:sz w:val="20"/>
                <w:szCs w:val="20"/>
                <w:color w:val="auto"/>
              </w:rPr>
            </w:pPr>
            <w:r>
              <w:rPr>
                <w:rFonts w:ascii="Times New Roman" w:cs="Times New Roman" w:eastAsia="Times New Roman" w:hAnsi="Times New Roman"/>
                <w:sz w:val="17"/>
                <w:szCs w:val="17"/>
                <w:color w:val="0000FF"/>
              </w:rPr>
              <w:t>05/12/2026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rPr>
              <w:t>260,416</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260,416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Class A common stock of the Issuer that vests in four equal annual installments commencing May 12, 2027. The restricted stock was granted pursuant to an inducement award agreement outside of the Issuer's Amended and Restated Omnibus Incentive Plan as a material inducement to the reporting person's acceptance of employment with the Issuer in accordance with NASDAQ Listing Rule 5635(c)(4).</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7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Tyler B. Dempsey, as</w:t>
            </w:r>
          </w:p>
        </w:tc>
        <w:tc>
          <w:tcPr>
            <w:tcW w:w="38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05/14/2026</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20817" TargetMode="External"/><Relationship Id="rId14" Type="http://schemas.openxmlformats.org/officeDocument/2006/relationships/hyperlink" Target="http://www.sec.gov/cgi-bin/browse-edgar?action=getcompany&amp;CIK=000172059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2026-05-14T16:06:34Z</dcterms:created>
  <dcterms:modified xsi:type="dcterms:W3CDTF">2026-05-14T16:06:34Z</dcterms:modified>
</cp:coreProperties>
</file>