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3100"/>
        <w:spacing w:after="0" w:line="268" w:lineRule="auto"/>
        <w:rPr>
          <w:sz w:val="20"/>
          <w:szCs w:val="20"/>
          <w:color w:val="auto"/>
        </w:rPr>
      </w:pPr>
      <w:r>
        <w:rPr>
          <w:rFonts w:ascii="Times New Roman" w:cs="Times New Roman" w:eastAsia="Times New Roman" w:hAnsi="Times New Roman"/>
          <w:sz w:val="40"/>
          <w:szCs w:val="40"/>
          <w:color w:val="auto"/>
        </w:rPr>
        <w:drawing>
          <wp:anchor simplePos="0" relativeHeight="251657728" behindDoc="1" locked="0" layoutInCell="0" allowOverlap="1">
            <wp:simplePos x="0" y="0"/>
            <wp:positionH relativeFrom="page">
              <wp:posOffset>189865</wp:posOffset>
            </wp:positionH>
            <wp:positionV relativeFrom="page">
              <wp:posOffset>139065</wp:posOffset>
            </wp:positionV>
            <wp:extent cx="716915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421640</wp:posOffset>
            </wp:positionV>
            <wp:extent cx="716915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41275"/>
                    </a:xfrm>
                    <a:prstGeom prst="rect">
                      <a:avLst/>
                    </a:prstGeom>
                    <a:noFill/>
                  </pic:spPr>
                </pic:pic>
              </a:graphicData>
            </a:graphic>
          </wp:anchor>
        </w:drawing>
        <w:t>SECURITIES AND EXCHANGE COMMISSION Washington, D.C. 20549</w:t>
      </w:r>
    </w:p>
    <w:p>
      <w:pPr>
        <w:spacing w:after="0" w:line="38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0"/>
          <w:szCs w:val="30"/>
          <w:color w:val="auto"/>
        </w:rPr>
        <w:t>SCHEDULE 13D</w:t>
      </w:r>
    </w:p>
    <w:p>
      <w:pPr>
        <w:spacing w:after="0" w:line="2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4"/>
          <w:szCs w:val="24"/>
          <w:color w:val="auto"/>
        </w:rPr>
        <w:t>Under the Securities Exchange Act of 1934</w:t>
      </w:r>
    </w:p>
    <w:p>
      <w:pPr>
        <w:spacing w:after="0" w:line="21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 xml:space="preserve">(Amendment No. </w:t>
      </w:r>
      <w:r>
        <w:rPr>
          <w:rFonts w:ascii="Times New Roman" w:cs="Times New Roman" w:eastAsia="Times New Roman" w:hAnsi="Times New Roman"/>
          <w:sz w:val="20"/>
          <w:szCs w:val="20"/>
          <w:b w:val="1"/>
          <w:bCs w:val="1"/>
          <w:color w:val="0000FF"/>
        </w:rPr>
        <w:t>5</w:t>
      </w:r>
      <w:r>
        <w:rPr>
          <w:rFonts w:ascii="Times New Roman" w:cs="Times New Roman" w:eastAsia="Times New Roman" w:hAnsi="Times New Roman"/>
          <w:sz w:val="20"/>
          <w:szCs w:val="20"/>
          <w:b w:val="1"/>
          <w:bCs w:val="1"/>
          <w:color w:val="auto"/>
        </w:rPr>
        <w:t>)*</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Repay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(Name of Issuer)</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377825</wp:posOffset>
            </wp:positionV>
            <wp:extent cx="557593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00" w:lineRule="exact"/>
        <w:rPr>
          <w:sz w:val="24"/>
          <w:szCs w:val="24"/>
          <w:color w:val="auto"/>
        </w:rPr>
      </w:pPr>
    </w:p>
    <w:p>
      <w:pPr>
        <w:spacing w:after="0" w:line="28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Robert MacArthur</w:t>
      </w:r>
    </w:p>
    <w:p>
      <w:pPr>
        <w:spacing w:after="0" w:line="1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c/o Forager Fund, L.P., 2025 3rd Avenue North, Suite 350</w:t>
      </w:r>
    </w:p>
    <w:p>
      <w:pPr>
        <w:jc w:val="center"/>
        <w:ind w:right="2420"/>
        <w:spacing w:after="0" w:line="232" w:lineRule="auto"/>
        <w:rPr>
          <w:sz w:val="20"/>
          <w:szCs w:val="20"/>
          <w:color w:val="auto"/>
        </w:rPr>
      </w:pPr>
      <w:r>
        <w:rPr>
          <w:rFonts w:ascii="Times New Roman" w:cs="Times New Roman" w:eastAsia="Times New Roman" w:hAnsi="Times New Roman"/>
          <w:sz w:val="20"/>
          <w:szCs w:val="20"/>
          <w:b w:val="1"/>
          <w:bCs w:val="1"/>
          <w:color w:val="0000FF"/>
        </w:rPr>
        <w:t>Birmingham, AL, 35203</w:t>
      </w: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205-383-4763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47625</wp:posOffset>
            </wp:positionV>
            <wp:extent cx="557593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6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9"/>
          <w:szCs w:val="19"/>
          <w:b w:val="1"/>
          <w:bCs w:val="1"/>
          <w:color w:val="auto"/>
        </w:rPr>
        <w:t>(Name, Address and Telephone Number of Person Authorized to Receive Notices and Communications)</w:t>
      </w:r>
    </w:p>
    <w:p>
      <w:pPr>
        <w:spacing w:after="0" w:line="54"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20"/>
          <w:szCs w:val="20"/>
          <w:b w:val="1"/>
          <w:bCs w:val="1"/>
          <w:color w:val="0000FF"/>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557593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935" cy="41275"/>
                    </a:xfrm>
                    <a:prstGeom prst="rect">
                      <a:avLst/>
                    </a:prstGeom>
                    <a:noFill/>
                  </pic:spPr>
                </pic:pic>
              </a:graphicData>
            </a:graphic>
          </wp:anchor>
        </w:drawing>
      </w:r>
    </w:p>
    <w:p>
      <w:pPr>
        <w:spacing w:after="0" w:line="19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0"/>
          <w:szCs w:val="20"/>
          <w:b w:val="1"/>
          <w:bCs w:val="1"/>
          <w:color w:val="auto"/>
        </w:rPr>
        <w:t>(Date of Event Which Requires Filing of This Statement)</w:t>
      </w:r>
    </w:p>
    <w:p>
      <w:pPr>
        <w:spacing w:after="0" w:line="200" w:lineRule="exact"/>
        <w:rPr>
          <w:sz w:val="24"/>
          <w:szCs w:val="24"/>
          <w:color w:val="auto"/>
        </w:rPr>
      </w:pPr>
    </w:p>
    <w:p>
      <w:pPr>
        <w:spacing w:after="0" w:line="279"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17475" cy="1174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p>
    <w:p>
      <w:pPr>
        <w:spacing w:after="0" w:line="155"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40640</wp:posOffset>
            </wp:positionV>
            <wp:extent cx="716915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119380</wp:posOffset>
            </wp:positionV>
            <wp:extent cx="7169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4"/>
          <w:szCs w:val="24"/>
          <w:color w:val="auto"/>
        </w:rPr>
      </w:pPr>
    </w:p>
    <w:p>
      <w:pPr>
        <w:spacing w:after="0" w:line="31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1</w:t>
      </w:r>
    </w:p>
    <w:p>
      <w:pPr>
        <w:ind w:left="1060"/>
        <w:spacing w:after="0"/>
        <w:rPr>
          <w:sz w:val="20"/>
          <w:szCs w:val="20"/>
          <w:color w:val="auto"/>
        </w:rPr>
      </w:pPr>
      <w:r>
        <w:rPr>
          <w:rFonts w:ascii="Times New Roman" w:cs="Times New Roman" w:eastAsia="Times New Roman" w:hAnsi="Times New Roman"/>
          <w:sz w:val="20"/>
          <w:szCs w:val="20"/>
          <w:color w:val="auto"/>
        </w:rPr>
        <w:t>Forager Fund, L.P.</w:t>
      </w:r>
    </w:p>
    <w:p>
      <w:pPr>
        <w:spacing w:after="0" w:line="2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4" w:lineRule="exact"/>
        <w:rPr>
          <w:sz w:val="24"/>
          <w:szCs w:val="24"/>
          <w:color w:val="auto"/>
        </w:rPr>
      </w:pPr>
    </w:p>
    <w:p>
      <w:pPr>
        <w:ind w:left="1060" w:hanging="1024"/>
        <w:spacing w:after="0"/>
        <w:tabs>
          <w:tab w:leader="none" w:pos="1060" w:val="left"/>
        </w:tabs>
        <w:numPr>
          <w:ilvl w:val="0"/>
          <w:numId w:val="1"/>
        </w:numPr>
        <w:rPr>
          <w:rFonts w:ascii="Times New Roman" w:cs="Times New Roman" w:eastAsia="Times New Roman" w:hAnsi="Times New Roman"/>
          <w:sz w:val="40"/>
          <w:szCs w:val="40"/>
          <w:color w:val="auto"/>
          <w:vertAlign w:val="superscript"/>
        </w:rPr>
      </w:pPr>
      <w:r>
        <w:rPr>
          <w:sz w:val="1"/>
          <w:szCs w:val="1"/>
          <w:color w:val="auto"/>
        </w:rPr>
        <w:drawing>
          <wp:inline distT="0" distB="0" distL="0" distR="0">
            <wp:extent cx="117475" cy="117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ind w:left="1060"/>
        <w:spacing w:after="0"/>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7475" cy="1174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4"/>
          <w:szCs w:val="24"/>
          <w:color w:val="auto"/>
        </w:rPr>
      </w:pPr>
    </w:p>
    <w:p>
      <w:pPr>
        <w:ind w:left="1060" w:hanging="1024"/>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4</w:t>
      </w:r>
    </w:p>
    <w:p>
      <w:pPr>
        <w:ind w:left="1060"/>
        <w:spacing w:after="0"/>
        <w:rPr>
          <w:sz w:val="20"/>
          <w:szCs w:val="20"/>
          <w:color w:val="auto"/>
        </w:rPr>
      </w:pPr>
      <w:r>
        <w:rPr>
          <w:rFonts w:ascii="Times New Roman" w:cs="Times New Roman" w:eastAsia="Times New Roman" w:hAnsi="Times New Roman"/>
          <w:sz w:val="20"/>
          <w:szCs w:val="20"/>
          <w:color w:val="auto"/>
        </w:rPr>
        <w:t>WC</w:t>
      </w:r>
    </w:p>
    <w:p>
      <w:pPr>
        <w:sectPr>
          <w:pgSz w:w="11900" w:h="16838" w:orient="portrait"/>
          <w:cols w:equalWidth="0" w:num="1">
            <w:col w:w="11240"/>
          </w:cols>
          <w:pgMar w:left="320" w:top="80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rPr>
          <w:sz w:val="20"/>
          <w:szCs w:val="20"/>
          <w:color w:val="auto"/>
        </w:rPr>
      </w:pPr>
      <w:r>
        <w:rPr>
          <w:rFonts w:ascii="Times New Roman" w:cs="Times New Roman" w:eastAsia="Times New Roman" w:hAnsi="Times New Roman"/>
          <w:sz w:val="19"/>
          <w:szCs w:val="19"/>
          <w:color w:val="auto"/>
        </w:rPr>
        <w:t>Beneficially</w:t>
      </w:r>
    </w:p>
    <w:p>
      <w:pPr>
        <w:spacing w:after="0" w:line="236" w:lineRule="auto"/>
        <w:rPr>
          <w:sz w:val="20"/>
          <w:szCs w:val="20"/>
          <w:color w:val="auto"/>
        </w:rPr>
      </w:pPr>
      <w:r>
        <w:rPr>
          <w:rFonts w:ascii="Times New Roman" w:cs="Times New Roman" w:eastAsia="Times New Roman" w:hAnsi="Times New Roman"/>
          <w:sz w:val="20"/>
          <w:szCs w:val="20"/>
          <w:color w:val="auto"/>
        </w:rPr>
        <w:t>Owned by</w:t>
      </w:r>
    </w:p>
    <w:p>
      <w:pPr>
        <w:spacing w:after="0" w:line="232" w:lineRule="auto"/>
        <w:rPr>
          <w:sz w:val="20"/>
          <w:szCs w:val="20"/>
          <w:color w:val="auto"/>
        </w:rPr>
      </w:pPr>
      <w:r>
        <w:rPr>
          <w:rFonts w:ascii="Times New Roman" w:cs="Times New Roman" w:eastAsia="Times New Roman" w:hAnsi="Times New Roman"/>
          <w:sz w:val="20"/>
          <w:szCs w:val="20"/>
          <w:color w:val="auto"/>
        </w:rPr>
        <w:t>Each</w:t>
      </w:r>
    </w:p>
    <w:p>
      <w:pPr>
        <w:spacing w:after="0" w:line="232" w:lineRule="auto"/>
        <w:rPr>
          <w:sz w:val="20"/>
          <w:szCs w:val="20"/>
          <w:color w:val="auto"/>
        </w:rPr>
      </w:pPr>
      <w:r>
        <w:rPr>
          <w:rFonts w:ascii="Times New Roman" w:cs="Times New Roman" w:eastAsia="Times New Roman" w:hAnsi="Times New Roman"/>
          <w:sz w:val="20"/>
          <w:szCs w:val="20"/>
          <w:color w:val="auto"/>
        </w:rPr>
        <w:t>Reporting</w:t>
      </w:r>
    </w:p>
    <w:p>
      <w:pPr>
        <w:spacing w:after="0" w:line="233" w:lineRule="auto"/>
        <w:rPr>
          <w:sz w:val="20"/>
          <w:szCs w:val="20"/>
          <w:color w:val="auto"/>
        </w:rPr>
      </w:pPr>
      <w:r>
        <w:rPr>
          <w:rFonts w:ascii="Times New Roman" w:cs="Times New Roman" w:eastAsia="Times New Roman" w:hAnsi="Times New Roman"/>
          <w:sz w:val="20"/>
          <w:szCs w:val="20"/>
          <w:color w:val="auto"/>
        </w:rPr>
        <w:t>Person</w:t>
      </w:r>
    </w:p>
    <w:p>
      <w:pPr>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117475"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11,106,548.00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11,106,548.00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11,106,548.00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PN</w:t>
      </w:r>
    </w:p>
    <w:p>
      <w:pPr>
        <w:spacing w:after="0" w:line="200" w:lineRule="exact"/>
        <w:rPr>
          <w:sz w:val="20"/>
          <w:szCs w:val="20"/>
          <w:color w:val="auto"/>
        </w:rPr>
      </w:pPr>
    </w:p>
    <w:p>
      <w:pPr>
        <w:sectPr>
          <w:pgSz w:w="11900" w:h="16838" w:orient="portrait"/>
          <w:cols w:equalWidth="0" w:num="2">
            <w:col w:w="960" w:space="60"/>
            <w:col w:w="9079"/>
          </w:cols>
          <w:pgMar w:left="36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0"/>
          <w:szCs w:val="20"/>
          <w:color w:val="auto"/>
        </w:rPr>
      </w:pP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ind w:left="1020"/>
        <w:spacing w:after="0"/>
        <w:rPr>
          <w:sz w:val="20"/>
          <w:szCs w:val="20"/>
          <w:color w:val="auto"/>
        </w:rPr>
      </w:pPr>
      <w:r>
        <w:rPr>
          <w:rFonts w:ascii="Times New Roman" w:cs="Times New Roman" w:eastAsia="Times New Roman" w:hAnsi="Times New Roman"/>
          <w:sz w:val="20"/>
          <w:szCs w:val="20"/>
          <w:color w:val="auto"/>
        </w:rPr>
        <w:t>Forager Capital Management, LLC</w:t>
      </w:r>
    </w:p>
    <w:p>
      <w:pPr>
        <w:spacing w:after="0" w:line="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ectPr>
          <w:pgSz w:w="11900" w:h="16838" w:orient="portrait"/>
          <w:cols w:equalWidth="0" w:num="1">
            <w:col w:w="10099"/>
          </w:cols>
          <w:pgMar w:left="360" w:top="114" w:right="1440" w:bottom="0" w:gutter="0" w:footer="0" w:header="0"/>
          <w:type w:val="continuous"/>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rPr>
          <w:sz w:val="20"/>
          <w:szCs w:val="20"/>
          <w:color w:val="auto"/>
        </w:rPr>
      </w:pPr>
      <w:r>
        <w:rPr>
          <w:rFonts w:ascii="Times New Roman" w:cs="Times New Roman" w:eastAsia="Times New Roman" w:hAnsi="Times New Roman"/>
          <w:sz w:val="19"/>
          <w:szCs w:val="19"/>
          <w:color w:val="auto"/>
        </w:rPr>
        <w:t>Beneficially</w:t>
      </w:r>
    </w:p>
    <w:p>
      <w:pPr>
        <w:spacing w:after="0" w:line="236" w:lineRule="auto"/>
        <w:rPr>
          <w:sz w:val="20"/>
          <w:szCs w:val="20"/>
          <w:color w:val="auto"/>
        </w:rPr>
      </w:pPr>
      <w:r>
        <w:rPr>
          <w:rFonts w:ascii="Times New Roman" w:cs="Times New Roman" w:eastAsia="Times New Roman" w:hAnsi="Times New Roman"/>
          <w:sz w:val="20"/>
          <w:szCs w:val="20"/>
          <w:color w:val="auto"/>
        </w:rPr>
        <w:t>Owned by</w:t>
      </w:r>
    </w:p>
    <w:p>
      <w:pPr>
        <w:spacing w:after="0" w:line="232" w:lineRule="auto"/>
        <w:rPr>
          <w:sz w:val="20"/>
          <w:szCs w:val="20"/>
          <w:color w:val="auto"/>
        </w:rPr>
      </w:pPr>
      <w:r>
        <w:rPr>
          <w:rFonts w:ascii="Times New Roman" w:cs="Times New Roman" w:eastAsia="Times New Roman" w:hAnsi="Times New Roman"/>
          <w:sz w:val="20"/>
          <w:szCs w:val="20"/>
          <w:color w:val="auto"/>
        </w:rPr>
        <w:t>Each</w:t>
      </w:r>
    </w:p>
    <w:p>
      <w:pPr>
        <w:spacing w:after="0" w:line="232" w:lineRule="auto"/>
        <w:rPr>
          <w:sz w:val="20"/>
          <w:szCs w:val="20"/>
          <w:color w:val="auto"/>
        </w:rPr>
      </w:pPr>
      <w:r>
        <w:rPr>
          <w:rFonts w:ascii="Times New Roman" w:cs="Times New Roman" w:eastAsia="Times New Roman" w:hAnsi="Times New Roman"/>
          <w:sz w:val="20"/>
          <w:szCs w:val="20"/>
          <w:color w:val="auto"/>
        </w:rPr>
        <w:t>Reporting</w:t>
      </w:r>
    </w:p>
    <w:p>
      <w:pPr>
        <w:spacing w:after="0" w:line="233" w:lineRule="auto"/>
        <w:rPr>
          <w:sz w:val="20"/>
          <w:szCs w:val="20"/>
          <w:color w:val="auto"/>
        </w:rPr>
      </w:pPr>
      <w:r>
        <w:rPr>
          <w:rFonts w:ascii="Times New Roman" w:cs="Times New Roman" w:eastAsia="Times New Roman" w:hAnsi="Times New Roman"/>
          <w:sz w:val="20"/>
          <w:szCs w:val="20"/>
          <w:color w:val="auto"/>
        </w:rPr>
        <w:t>Person</w:t>
      </w:r>
    </w:p>
    <w:p>
      <w:pPr>
        <w:spacing w:after="0"/>
        <w:rPr>
          <w:sz w:val="20"/>
          <w:szCs w:val="20"/>
          <w:color w:val="auto"/>
        </w:rPr>
      </w:pPr>
      <w:r>
        <w:rPr>
          <w:rFonts w:ascii="Times New Roman" w:cs="Times New Roman" w:eastAsia="Times New Roman" w:hAnsi="Times New Roman"/>
          <w:sz w:val="20"/>
          <w:szCs w:val="20"/>
          <w:color w:val="auto"/>
        </w:rPr>
        <w:t>With:</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spacing w:after="0" w:line="1" w:lineRule="exact"/>
        <w:rPr>
          <w:sz w:val="20"/>
          <w:szCs w:val="20"/>
          <w:color w:val="auto"/>
        </w:rPr>
      </w:pPr>
    </w:p>
    <w:p>
      <w:pPr>
        <w:sectPr>
          <w:pgSz w:w="11900" w:h="16838" w:orient="portrait"/>
          <w:cols w:equalWidth="0" w:num="2">
            <w:col w:w="960" w:space="60"/>
            <w:col w:w="9079"/>
          </w:cols>
          <w:pgMar w:left="360" w:top="114" w:right="1440" w:bottom="0" w:gutter="0" w:footer="0" w:header="0"/>
          <w:type w:val="continuous"/>
        </w:sectPr>
      </w:pPr>
    </w:p>
    <w:p>
      <w:pPr>
        <w:ind w:left="1300"/>
        <w:spacing w:after="0"/>
        <w:rPr>
          <w:sz w:val="20"/>
          <w:szCs w:val="20"/>
          <w:color w:val="auto"/>
        </w:rPr>
      </w:pPr>
      <w:r>
        <w:rPr>
          <w:rFonts w:ascii="Times New Roman" w:cs="Times New Roman" w:eastAsia="Times New Roman" w:hAnsi="Times New Roman"/>
          <w:sz w:val="20"/>
          <w:szCs w:val="20"/>
          <w:color w:val="auto"/>
        </w:rPr>
        <w:t>0.00</w:t>
      </w:r>
    </w:p>
    <w:p>
      <w:pPr>
        <w:sectPr>
          <w:pgSz w:w="11900" w:h="16838" w:orient="portrait"/>
          <w:cols w:equalWidth="0" w:num="1">
            <w:col w:w="10099"/>
          </w:cols>
          <w:pgMar w:left="360" w:top="114" w:right="1440" w:bottom="0" w:gutter="0" w:footer="0" w:header="0"/>
          <w:type w:val="continuous"/>
        </w:sectPr>
      </w:pPr>
    </w:p>
    <w:bookmarkStart w:id="2" w:name="page3"/>
    <w:bookmarkEnd w:id="2"/>
    <w:p>
      <w:pPr>
        <w:ind w:left="1024" w:right="4039" w:hanging="1024"/>
        <w:spacing w:after="0" w:line="374" w:lineRule="auto"/>
        <w:tabs>
          <w:tab w:leader="none" w:pos="10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11,106,648.00</w:t>
      </w:r>
    </w:p>
    <w:p>
      <w:pPr>
        <w:jc w:val="right"/>
        <w:ind w:right="2319"/>
        <w:spacing w:after="0" w:line="230" w:lineRule="auto"/>
        <w:rPr>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12700</wp:posOffset>
            </wp:positionV>
            <wp:extent cx="117475" cy="117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1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ind w:left="1024"/>
        <w:spacing w:after="0"/>
        <w:rPr>
          <w:sz w:val="20"/>
          <w:szCs w:val="20"/>
          <w:color w:val="auto"/>
        </w:rPr>
      </w:pPr>
      <w:r>
        <w:rPr>
          <w:rFonts w:ascii="Times New Roman" w:cs="Times New Roman" w:eastAsia="Times New Roman" w:hAnsi="Times New Roman"/>
          <w:sz w:val="20"/>
          <w:szCs w:val="20"/>
          <w:color w:val="auto"/>
        </w:rPr>
        <w:t>12.4 %</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ind w:left="1024"/>
        <w:spacing w:after="0"/>
        <w:rPr>
          <w:sz w:val="20"/>
          <w:szCs w:val="20"/>
          <w:color w:val="auto"/>
        </w:rPr>
      </w:pPr>
      <w:r>
        <w:rPr>
          <w:rFonts w:ascii="Times New Roman" w:cs="Times New Roman" w:eastAsia="Times New Roman" w:hAnsi="Times New Roman"/>
          <w:sz w:val="20"/>
          <w:szCs w:val="20"/>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4"/>
          <w:szCs w:val="24"/>
          <w:color w:val="auto"/>
        </w:rPr>
        <w:t>SCHEDULE 13D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CUSIP No.</w:t>
      </w:r>
    </w:p>
    <w:p>
      <w:pPr>
        <w:spacing w:after="0" w:line="200" w:lineRule="exact"/>
        <w:rPr>
          <w:sz w:val="20"/>
          <w:szCs w:val="20"/>
          <w:color w:val="auto"/>
        </w:rPr>
      </w:pPr>
    </w:p>
    <w:p>
      <w:pPr>
        <w:spacing w:after="0" w:line="316"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w:t>
      </w:r>
    </w:p>
    <w:p>
      <w:pPr>
        <w:ind w:left="1024"/>
        <w:spacing w:after="0"/>
        <w:rPr>
          <w:sz w:val="20"/>
          <w:szCs w:val="20"/>
          <w:color w:val="auto"/>
        </w:rPr>
      </w:pPr>
      <w:r>
        <w:rPr>
          <w:rFonts w:ascii="Times New Roman" w:cs="Times New Roman" w:eastAsia="Times New Roman" w:hAnsi="Times New Roman"/>
          <w:sz w:val="20"/>
          <w:szCs w:val="20"/>
          <w:color w:val="auto"/>
        </w:rPr>
        <w:t>Edward Kissel</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ectPr>
          <w:pgSz w:w="11900" w:h="16838" w:orient="portrait"/>
          <w:cols w:equalWidth="0" w:num="1">
            <w:col w:w="10103"/>
          </w:cols>
          <w:pgMar w:left="356" w:top="114" w:right="1440" w:bottom="0" w:gutter="0" w:footer="0" w:header="0"/>
        </w:sectPr>
      </w:pPr>
    </w:p>
    <w:p>
      <w:pPr>
        <w:spacing w:after="0" w:line="1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2</w:t>
      </w:r>
    </w:p>
    <w:p>
      <w:pPr>
        <w:spacing w:after="0" w:line="3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Shares</w:t>
      </w:r>
    </w:p>
    <w:p>
      <w:pPr>
        <w:ind w:left="4"/>
        <w:spacing w:after="0"/>
        <w:rPr>
          <w:sz w:val="20"/>
          <w:szCs w:val="20"/>
          <w:color w:val="auto"/>
        </w:rPr>
      </w:pPr>
      <w:r>
        <w:rPr>
          <w:rFonts w:ascii="Times New Roman" w:cs="Times New Roman" w:eastAsia="Times New Roman" w:hAnsi="Times New Roman"/>
          <w:sz w:val="19"/>
          <w:szCs w:val="19"/>
          <w:color w:val="auto"/>
        </w:rPr>
        <w:t>Beneficially</w:t>
      </w:r>
    </w:p>
    <w:p>
      <w:pPr>
        <w:ind w:left="4"/>
        <w:spacing w:after="0" w:line="236" w:lineRule="auto"/>
        <w:rPr>
          <w:sz w:val="20"/>
          <w:szCs w:val="20"/>
          <w:color w:val="auto"/>
        </w:rPr>
      </w:pPr>
      <w:r>
        <w:rPr>
          <w:rFonts w:ascii="Times New Roman" w:cs="Times New Roman" w:eastAsia="Times New Roman" w:hAnsi="Times New Roman"/>
          <w:sz w:val="20"/>
          <w:szCs w:val="20"/>
          <w:color w:val="auto"/>
        </w:rPr>
        <w:t>Owned by</w:t>
      </w:r>
    </w:p>
    <w:p>
      <w:pPr>
        <w:ind w:left="4"/>
        <w:spacing w:after="0" w:line="232" w:lineRule="auto"/>
        <w:rPr>
          <w:sz w:val="20"/>
          <w:szCs w:val="20"/>
          <w:color w:val="auto"/>
        </w:rPr>
      </w:pPr>
      <w:r>
        <w:rPr>
          <w:rFonts w:ascii="Times New Roman" w:cs="Times New Roman" w:eastAsia="Times New Roman" w:hAnsi="Times New Roman"/>
          <w:sz w:val="20"/>
          <w:szCs w:val="20"/>
          <w:color w:val="auto"/>
        </w:rPr>
        <w:t>Each</w:t>
      </w:r>
    </w:p>
    <w:p>
      <w:pPr>
        <w:ind w:left="4"/>
        <w:spacing w:after="0" w:line="232" w:lineRule="auto"/>
        <w:rPr>
          <w:sz w:val="20"/>
          <w:szCs w:val="20"/>
          <w:color w:val="auto"/>
        </w:rPr>
      </w:pPr>
      <w:r>
        <w:rPr>
          <w:rFonts w:ascii="Times New Roman" w:cs="Times New Roman" w:eastAsia="Times New Roman" w:hAnsi="Times New Roman"/>
          <w:sz w:val="20"/>
          <w:szCs w:val="20"/>
          <w:color w:val="auto"/>
        </w:rPr>
        <w:t>Reporting</w:t>
      </w:r>
    </w:p>
    <w:p>
      <w:pPr>
        <w:ind w:left="4"/>
        <w:spacing w:after="0" w:line="233" w:lineRule="auto"/>
        <w:rPr>
          <w:sz w:val="20"/>
          <w:szCs w:val="20"/>
          <w:color w:val="auto"/>
        </w:rPr>
      </w:pPr>
      <w:r>
        <w:rPr>
          <w:rFonts w:ascii="Times New Roman" w:cs="Times New Roman" w:eastAsia="Times New Roman" w:hAnsi="Times New Roman"/>
          <w:sz w:val="20"/>
          <w:szCs w:val="20"/>
          <w:color w:val="auto"/>
        </w:rPr>
        <w:t>Person</w:t>
      </w:r>
    </w:p>
    <w:p>
      <w:pPr>
        <w:ind w:left="4"/>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17475" cy="1174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117475" cy="117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11,106,648.00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HC</w:t>
      </w:r>
    </w:p>
    <w:p>
      <w:pPr>
        <w:spacing w:after="0" w:line="200" w:lineRule="exact"/>
        <w:rPr>
          <w:sz w:val="20"/>
          <w:szCs w:val="20"/>
          <w:color w:val="auto"/>
        </w:rPr>
      </w:pPr>
    </w:p>
    <w:p>
      <w:pPr>
        <w:sectPr>
          <w:pgSz w:w="11900" w:h="16838" w:orient="portrait"/>
          <w:cols w:equalWidth="0" w:num="2">
            <w:col w:w="964" w:space="60"/>
            <w:col w:w="9079"/>
          </w:cols>
          <w:pgMar w:left="356" w:top="11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SCHEDULE 13D</w:t>
      </w:r>
    </w:p>
    <w:p>
      <w:pPr>
        <w:sectPr>
          <w:pgSz w:w="11900" w:h="16838" w:orient="portrait"/>
          <w:cols w:equalWidth="0" w:num="1">
            <w:col w:w="10103"/>
          </w:cols>
          <w:pgMar w:left="356" w:top="114" w:right="1440" w:bottom="0" w:gutter="0" w:footer="0" w:header="0"/>
          <w:type w:val="continuous"/>
        </w:sectPr>
      </w:pP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CUSIP No.</w:t>
      </w:r>
    </w:p>
    <w:p>
      <w:pPr>
        <w:sectPr>
          <w:pgSz w:w="11900" w:h="16838" w:orient="portrait"/>
          <w:cols w:equalWidth="0" w:num="1">
            <w:col w:w="10103"/>
          </w:cols>
          <w:pgMar w:left="356" w:top="114" w:right="1440" w:bottom="0" w:gutter="0" w:footer="0" w:header="0"/>
          <w:type w:val="continuous"/>
        </w:sectPr>
      </w:pPr>
    </w:p>
    <w:bookmarkStart w:id="3" w:name="page4"/>
    <w:bookmarkEnd w:id="3"/>
    <w:p>
      <w:pPr>
        <w:spacing w:after="0" w:line="11"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20"/>
          <w:szCs w:val="20"/>
          <w:color w:val="auto"/>
        </w:rPr>
        <w:t>Name of reporting person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w:t>
      </w:r>
    </w:p>
    <w:p>
      <w:pPr>
        <w:ind w:left="1024"/>
        <w:spacing w:after="0"/>
        <w:rPr>
          <w:sz w:val="20"/>
          <w:szCs w:val="20"/>
          <w:color w:val="auto"/>
        </w:rPr>
      </w:pPr>
      <w:r>
        <w:rPr>
          <w:rFonts w:ascii="Times New Roman" w:cs="Times New Roman" w:eastAsia="Times New Roman" w:hAnsi="Times New Roman"/>
          <w:sz w:val="20"/>
          <w:szCs w:val="20"/>
          <w:color w:val="auto"/>
        </w:rPr>
        <w:t>Robert MacArthur</w:t>
      </w:r>
    </w:p>
    <w:p>
      <w:pPr>
        <w:spacing w:after="0" w:line="20"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36" w:lineRule="exact"/>
        <w:rPr>
          <w:sz w:val="20"/>
          <w:szCs w:val="20"/>
          <w:color w:val="auto"/>
        </w:rPr>
      </w:pPr>
    </w:p>
    <w:p>
      <w:pPr>
        <w:ind w:left="1024" w:hanging="1024"/>
        <w:spacing w:after="0"/>
        <w:tabs>
          <w:tab w:leader="none" w:pos="1024" w:val="left"/>
        </w:tabs>
        <w:numPr>
          <w:ilvl w:val="0"/>
          <w:numId w:val="4"/>
        </w:numPr>
        <w:rPr>
          <w:rFonts w:ascii="Times New Roman" w:cs="Times New Roman" w:eastAsia="Times New Roman" w:hAnsi="Times New Roman"/>
          <w:sz w:val="40"/>
          <w:szCs w:val="40"/>
          <w:color w:val="auto"/>
          <w:vertAlign w:val="superscript"/>
        </w:rPr>
      </w:pPr>
      <w:r>
        <w:rPr>
          <w:sz w:val="1"/>
          <w:szCs w:val="1"/>
          <w:color w:val="auto"/>
        </w:rPr>
        <w:drawing>
          <wp:inline distT="0" distB="0" distL="0" distR="0">
            <wp:extent cx="117475" cy="11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w:t>
      </w:r>
    </w:p>
    <w:p>
      <w:pPr>
        <w:ind w:left="1024"/>
        <w:spacing w:after="0"/>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7475" cy="1174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75" cy="11747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(b)</w:t>
      </w:r>
    </w:p>
    <w:p>
      <w:pPr>
        <w:sectPr>
          <w:pgSz w:w="11900" w:h="16849" w:orient="portrait"/>
          <w:cols w:equalWidth="0" w:num="1">
            <w:col w:w="11184"/>
          </w:cols>
          <w:pgMar w:left="356" w:top="596" w:right="359" w:bottom="0" w:gutter="0" w:footer="0" w:header="0"/>
        </w:sectPr>
      </w:pP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3</w:t>
      </w:r>
    </w:p>
    <w:p>
      <w:pPr>
        <w:spacing w:after="0" w:line="2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Number of</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Shares</w:t>
      </w:r>
    </w:p>
    <w:p>
      <w:pPr>
        <w:ind w:left="4"/>
        <w:spacing w:after="0"/>
        <w:rPr>
          <w:sz w:val="20"/>
          <w:szCs w:val="20"/>
          <w:color w:val="auto"/>
        </w:rPr>
      </w:pPr>
      <w:r>
        <w:rPr>
          <w:rFonts w:ascii="Times New Roman" w:cs="Times New Roman" w:eastAsia="Times New Roman" w:hAnsi="Times New Roman"/>
          <w:sz w:val="19"/>
          <w:szCs w:val="19"/>
          <w:color w:val="auto"/>
        </w:rPr>
        <w:t>Beneficially</w:t>
      </w:r>
    </w:p>
    <w:p>
      <w:pPr>
        <w:ind w:left="4"/>
        <w:spacing w:after="0" w:line="236" w:lineRule="auto"/>
        <w:rPr>
          <w:sz w:val="20"/>
          <w:szCs w:val="20"/>
          <w:color w:val="auto"/>
        </w:rPr>
      </w:pPr>
      <w:r>
        <w:rPr>
          <w:rFonts w:ascii="Times New Roman" w:cs="Times New Roman" w:eastAsia="Times New Roman" w:hAnsi="Times New Roman"/>
          <w:sz w:val="20"/>
          <w:szCs w:val="20"/>
          <w:color w:val="auto"/>
        </w:rPr>
        <w:t>Owned by</w:t>
      </w:r>
    </w:p>
    <w:p>
      <w:pPr>
        <w:ind w:left="4"/>
        <w:spacing w:after="0" w:line="232" w:lineRule="auto"/>
        <w:rPr>
          <w:sz w:val="20"/>
          <w:szCs w:val="20"/>
          <w:color w:val="auto"/>
        </w:rPr>
      </w:pPr>
      <w:r>
        <w:rPr>
          <w:rFonts w:ascii="Times New Roman" w:cs="Times New Roman" w:eastAsia="Times New Roman" w:hAnsi="Times New Roman"/>
          <w:sz w:val="20"/>
          <w:szCs w:val="20"/>
          <w:color w:val="auto"/>
        </w:rPr>
        <w:t>Each</w:t>
      </w:r>
    </w:p>
    <w:p>
      <w:pPr>
        <w:ind w:left="4"/>
        <w:spacing w:after="0" w:line="232" w:lineRule="auto"/>
        <w:rPr>
          <w:sz w:val="20"/>
          <w:szCs w:val="20"/>
          <w:color w:val="auto"/>
        </w:rPr>
      </w:pPr>
      <w:r>
        <w:rPr>
          <w:rFonts w:ascii="Times New Roman" w:cs="Times New Roman" w:eastAsia="Times New Roman" w:hAnsi="Times New Roman"/>
          <w:sz w:val="20"/>
          <w:szCs w:val="20"/>
          <w:color w:val="auto"/>
        </w:rPr>
        <w:t>Reporting</w:t>
      </w:r>
    </w:p>
    <w:p>
      <w:pPr>
        <w:ind w:left="4"/>
        <w:spacing w:after="0" w:line="233" w:lineRule="auto"/>
        <w:rPr>
          <w:sz w:val="20"/>
          <w:szCs w:val="20"/>
          <w:color w:val="auto"/>
        </w:rPr>
      </w:pPr>
      <w:r>
        <w:rPr>
          <w:rFonts w:ascii="Times New Roman" w:cs="Times New Roman" w:eastAsia="Times New Roman" w:hAnsi="Times New Roman"/>
          <w:sz w:val="20"/>
          <w:szCs w:val="20"/>
          <w:color w:val="auto"/>
        </w:rPr>
        <w:t>Person</w:t>
      </w:r>
    </w:p>
    <w:p>
      <w:pPr>
        <w:ind w:left="4"/>
        <w:spacing w:after="0"/>
        <w:rPr>
          <w:sz w:val="20"/>
          <w:szCs w:val="20"/>
          <w:color w:val="auto"/>
        </w:rPr>
      </w:pPr>
      <w:r>
        <w:rPr>
          <w:rFonts w:ascii="Times New Roman" w:cs="Times New Roman" w:eastAsia="Times New Roman" w:hAnsi="Times New Roman"/>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 use only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of funds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117475" cy="117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Citizenship or place of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7</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Voting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8</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Sole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w:t>
      </w:r>
    </w:p>
    <w:p>
      <w:pPr>
        <w:ind w:left="28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Shared Dispositive Power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w:t>
      </w:r>
    </w:p>
    <w:p>
      <w:pPr>
        <w:ind w:left="280"/>
        <w:spacing w:after="0"/>
        <w:rPr>
          <w:sz w:val="20"/>
          <w:szCs w:val="20"/>
          <w:color w:val="auto"/>
        </w:rPr>
      </w:pPr>
      <w:r>
        <w:rPr>
          <w:rFonts w:ascii="Times New Roman" w:cs="Times New Roman" w:eastAsia="Times New Roman" w:hAnsi="Times New Roman"/>
          <w:sz w:val="20"/>
          <w:szCs w:val="20"/>
          <w:color w:val="auto"/>
        </w:rPr>
        <w:t>11,106,648.00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11,106,648.00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117475" cy="11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HC</w:t>
      </w:r>
    </w:p>
    <w:p>
      <w:pPr>
        <w:spacing w:after="0" w:line="200" w:lineRule="exact"/>
        <w:rPr>
          <w:sz w:val="20"/>
          <w:szCs w:val="20"/>
          <w:color w:val="auto"/>
        </w:rPr>
      </w:pPr>
    </w:p>
    <w:p>
      <w:pPr>
        <w:sectPr>
          <w:pgSz w:w="11900" w:h="16849" w:orient="portrait"/>
          <w:cols w:equalWidth="0" w:num="2">
            <w:col w:w="964" w:space="60"/>
            <w:col w:w="10160"/>
          </w:cols>
          <w:pgMar w:left="356" w:top="596"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4"/>
          <w:szCs w:val="24"/>
          <w:color w:val="auto"/>
        </w:rPr>
        <w:t>SCHEDULE 13D</w:t>
      </w:r>
    </w:p>
    <w:p>
      <w:pPr>
        <w:spacing w:after="0" w:line="270"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color w:val="auto"/>
        </w:rPr>
        <w:t>Security and Issuer</w:t>
      </w:r>
    </w:p>
    <w:p>
      <w:pPr>
        <w:spacing w:after="0" w:line="42"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w:t>
      </w:r>
    </w:p>
    <w:p>
      <w:pPr>
        <w:ind w:left="924"/>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p>
      <w:pPr>
        <w:spacing w:after="0" w:line="20"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Name of Issuer: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(b)</w:t>
      </w:r>
    </w:p>
    <w:p>
      <w:pPr>
        <w:ind w:left="924"/>
        <w:spacing w:after="0"/>
        <w:rPr>
          <w:sz w:val="20"/>
          <w:szCs w:val="20"/>
          <w:color w:val="auto"/>
        </w:rPr>
      </w:pPr>
      <w:r>
        <w:rPr>
          <w:rFonts w:ascii="Times New Roman" w:cs="Times New Roman" w:eastAsia="Times New Roman" w:hAnsi="Times New Roman"/>
          <w:sz w:val="20"/>
          <w:szCs w:val="20"/>
          <w:color w:val="auto"/>
        </w:rPr>
        <w:t>Repay Holdings Corp</w:t>
      </w:r>
    </w:p>
    <w:p>
      <w:pPr>
        <w:spacing w:after="0" w:line="20"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(c)</w:t>
      </w:r>
    </w:p>
    <w:p>
      <w:pPr>
        <w:ind w:left="924"/>
        <w:spacing w:after="0"/>
        <w:rPr>
          <w:sz w:val="20"/>
          <w:szCs w:val="20"/>
          <w:color w:val="auto"/>
        </w:rPr>
      </w:pPr>
      <w:r>
        <w:rPr>
          <w:rFonts w:ascii="Times New Roman" w:cs="Times New Roman" w:eastAsia="Times New Roman" w:hAnsi="Times New Roman"/>
          <w:sz w:val="20"/>
          <w:szCs w:val="20"/>
          <w:color w:val="auto"/>
        </w:rPr>
        <w:t>3060 PEACHTREE ROAD NW, SUITE 1100, ATLANTA, GEORGIA , 30305.</w:t>
      </w:r>
    </w:p>
    <w:p>
      <w:pPr>
        <w:spacing w:after="0" w:line="2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9"/>
          <w:szCs w:val="19"/>
          <w:color w:val="auto"/>
        </w:rPr>
        <w:t>The aggregate percentage of shares owned by each person named herein is based on 89,672,978 shares of Common Stock</w:t>
      </w:r>
      <w:r>
        <w:rPr>
          <w:rFonts w:ascii="Times New Roman" w:cs="Times New Roman" w:eastAsia="Times New Roman" w:hAnsi="Times New Roman"/>
          <w:sz w:val="18"/>
          <w:szCs w:val="18"/>
          <w:b w:val="1"/>
          <w:bCs w:val="1"/>
          <w:color w:val="auto"/>
        </w:rPr>
        <w:t xml:space="preserve"> Comment: </w:t>
      </w:r>
      <w:r>
        <w:rPr>
          <w:rFonts w:ascii="Times New Roman" w:cs="Times New Roman" w:eastAsia="Times New Roman" w:hAnsi="Times New Roman"/>
          <w:sz w:val="19"/>
          <w:szCs w:val="19"/>
          <w:color w:val="auto"/>
        </w:rPr>
        <w:t>outstanding as of April 29, 2026, as reported in the Issuer's Quarterly Report on Form 10Q for the fiscal quarter ended March 31,</w:t>
      </w:r>
    </w:p>
    <w:p>
      <w:pPr>
        <w:spacing w:after="0" w:line="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20"/>
          <w:szCs w:val="20"/>
          <w:color w:val="auto"/>
        </w:rPr>
        <w:t>2026, filed with the Securities and Exchange Commission on May 4, 2026.</w:t>
      </w:r>
    </w:p>
    <w:p>
      <w:pPr>
        <w:spacing w:after="0" w:line="20"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19"/>
          <w:szCs w:val="19"/>
          <w:color w:val="auto"/>
        </w:rPr>
        <w:t>Identity and Background</w:t>
      </w:r>
    </w:p>
    <w:p>
      <w:pPr>
        <w:spacing w:after="0" w:line="67"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Source and Amount of Funds or Other Consideration</w:t>
      </w:r>
    </w:p>
    <w:p>
      <w:pPr>
        <w:spacing w:after="0" w:line="314"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Purpose of Transaction</w:t>
      </w:r>
    </w:p>
    <w:p>
      <w:pPr>
        <w:spacing w:after="0" w:line="42" w:lineRule="exact"/>
        <w:rPr>
          <w:sz w:val="20"/>
          <w:szCs w:val="20"/>
          <w:color w:val="auto"/>
        </w:rPr>
      </w:pPr>
    </w:p>
    <w:p>
      <w:pPr>
        <w:ind w:left="924" w:right="260"/>
        <w:spacing w:after="0" w:line="288" w:lineRule="auto"/>
        <w:rPr>
          <w:sz w:val="20"/>
          <w:szCs w:val="20"/>
          <w:color w:val="auto"/>
        </w:rPr>
      </w:pPr>
      <w:r>
        <w:rPr>
          <w:rFonts w:ascii="Times New Roman" w:cs="Times New Roman" w:eastAsia="Times New Roman" w:hAnsi="Times New Roman"/>
          <w:sz w:val="19"/>
          <w:szCs w:val="19"/>
          <w:color w:val="auto"/>
        </w:rPr>
        <w:t>On May 27, 2026, the Reporting Person issued a public letter to stockholders of the Issuer regarding the Issuer Board of Directors' response to the Reporting Person's non-binding proposal to acquire all outstanding shares of the Issuer for $4.80 per</w:t>
      </w:r>
    </w:p>
    <w:p>
      <w:pPr>
        <w:sectPr>
          <w:pgSz w:w="11900" w:h="16849" w:orient="portrait"/>
          <w:cols w:equalWidth="0" w:num="1">
            <w:col w:w="11184"/>
          </w:cols>
          <w:pgMar w:left="356" w:top="596" w:right="359" w:bottom="0" w:gutter="0" w:footer="0" w:header="0"/>
          <w:type w:val="continuous"/>
        </w:sectPr>
      </w:pPr>
    </w:p>
    <w:bookmarkStart w:id="4" w:name="page5"/>
    <w:bookmarkEnd w:id="4"/>
    <w:p>
      <w:pPr>
        <w:ind w:left="920" w:right="180"/>
        <w:spacing w:after="0" w:line="236" w:lineRule="auto"/>
        <w:rPr>
          <w:sz w:val="20"/>
          <w:szCs w:val="20"/>
          <w:color w:val="auto"/>
        </w:rPr>
      </w:pPr>
      <w:r>
        <w:rPr>
          <w:rFonts w:ascii="Times New Roman" w:cs="Times New Roman" w:eastAsia="Times New Roman" w:hAnsi="Times New Roman"/>
          <w:sz w:val="20"/>
          <w:szCs w:val="20"/>
          <w:color w:val="auto"/>
        </w:rPr>
        <w:t>share in cash. The Reporting Person continues to believe that a transaction involving the Issuer may be in the best interests of stockholders and remains willing to engage in discussions regarding a potential transaction. A copy of the letter is filed as Exhibit 99.4 hereto and incorporated herein by reference. There can be no assurance that any discussions that may occur between the Reporting Persons and the Issuer with respect to the proposal will result in the entry into a definitive agreement concerning a transaction or, if such a definitive agreement is reached, will result in the consummation of a transaction provided for in such definitive agreement. Discussions concerning a transaction may be terminated at any time and without prior notice. Entry into a definitive agreement concerning a transaction and the consummation of any such transaction will be subject to a number of contingencies that are beyond the control of the Reporting Persons, including the approval of the Board of Directors of the Issuer, and the satisfaction of any conditions to the consummation of a transaction set forth in any such definitive agreement.</w:t>
      </w:r>
    </w:p>
    <w:p>
      <w:pPr>
        <w:spacing w:after="0" w:line="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Interest in Securities of the Issuer</w:t>
      </w:r>
    </w:p>
    <w:p>
      <w:pPr>
        <w:spacing w:after="0" w:line="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Contracts, Arrangements, Understandings or Relationships With Respect to Securities of the Issuer</w:t>
      </w:r>
    </w:p>
    <w:p>
      <w:pPr>
        <w:spacing w:after="0" w:line="3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Material to be Filed as Exhibits.</w:t>
      </w:r>
    </w:p>
    <w:p>
      <w:pPr>
        <w:spacing w:after="0" w:line="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Item 7 of the Schedule 13D is hereby amended and supplemented to incorporate the following: The following document is filed</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as an exhibit: Exhibit 99.4 - Letter to Stockholders, dated May 27, 2026</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SIGNATURE</w:t>
      </w:r>
    </w:p>
    <w:p>
      <w:pPr>
        <w:spacing w:after="0" w:line="42" w:lineRule="exact"/>
        <w:rPr>
          <w:sz w:val="20"/>
          <w:szCs w:val="20"/>
          <w:color w:val="auto"/>
        </w:rPr>
      </w:pPr>
    </w:p>
    <w:p>
      <w:pPr>
        <w:ind w:left="1340"/>
        <w:spacing w:after="0" w:line="261"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2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Forager Fund, L.P.</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Managing Partner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05/27/2026</w:t>
      </w:r>
    </w:p>
    <w:p>
      <w:pPr>
        <w:spacing w:after="0" w:line="14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color w:val="auto"/>
        </w:rPr>
        <w:t>Forager Capital Management, LLC</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Managing Partner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05/27/2026</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Edward Kissel</w:t>
      </w:r>
    </w:p>
    <w:p>
      <w:pPr>
        <w:spacing w:after="0" w:line="141" w:lineRule="exact"/>
        <w:rPr>
          <w:sz w:val="20"/>
          <w:szCs w:val="20"/>
          <w:color w:val="auto"/>
        </w:rPr>
      </w:pPr>
    </w:p>
    <w:p>
      <w:pPr>
        <w:ind w:left="2560"/>
        <w:spacing w:after="0"/>
        <w:tabs>
          <w:tab w:leader="none" w:pos="35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Edward Kissel</w:t>
      </w:r>
    </w:p>
    <w:p>
      <w:pPr>
        <w:spacing w:after="0" w:line="4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color w:val="auto"/>
        </w:rPr>
        <w:t>Name/Title: Edward Kissel</w:t>
      </w:r>
    </w:p>
    <w:p>
      <w:pPr>
        <w:spacing w:after="0" w:line="42" w:lineRule="exact"/>
        <w:rPr>
          <w:sz w:val="20"/>
          <w:szCs w:val="20"/>
          <w:color w:val="auto"/>
        </w:rPr>
      </w:pPr>
    </w:p>
    <w:p>
      <w:pPr>
        <w:ind w:left="2560"/>
        <w:spacing w:after="0"/>
        <w:tabs>
          <w:tab w:leader="none" w:pos="35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05/27/2026</w:t>
      </w:r>
    </w:p>
    <w:p>
      <w:pPr>
        <w:spacing w:after="0" w:line="1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Robert MacArthur</w:t>
      </w:r>
    </w:p>
    <w:p>
      <w:pPr>
        <w:spacing w:after="0" w:line="141"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Robert MacArthur</w:t>
      </w:r>
    </w:p>
    <w:p>
      <w:pPr>
        <w:spacing w:after="0" w:line="4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Name/Title: Robert MacArthur</w:t>
      </w:r>
    </w:p>
    <w:p>
      <w:pPr>
        <w:spacing w:after="0" w:line="42" w:lineRule="exact"/>
        <w:rPr>
          <w:sz w:val="20"/>
          <w:szCs w:val="20"/>
          <w:color w:val="auto"/>
        </w:rPr>
      </w:pPr>
    </w:p>
    <w:p>
      <w:pPr>
        <w:ind w:left="2860"/>
        <w:spacing w:after="0"/>
        <w:tabs>
          <w:tab w:leader="none" w:pos="38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05/27/2026</w:t>
      </w:r>
    </w:p>
    <w:p>
      <w:pPr>
        <w:sectPr>
          <w:pgSz w:w="11900" w:h="16838" w:orient="portrait"/>
          <w:cols w:equalWidth="0" w:num="1">
            <w:col w:w="11160"/>
          </w:cols>
          <w:pgMar w:left="360" w:top="114"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147320</wp:posOffset>
            </wp:positionV>
            <wp:extent cx="7201535" cy="9326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932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375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20"/>
          </w:cols>
          <w:pgMar w:left="1440" w:top="119" w:right="339" w:bottom="488"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201535" cy="9326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01535" cy="932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375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9019"/>
          </w:cols>
          <w:pgMar w:left="1440" w:top="1440" w:right="1440" w:bottom="884"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201535" cy="9326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01535" cy="932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37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sectPr>
      <w:pgSz w:w="11900" w:h="16838" w:orient="portrait"/>
      <w:cols w:equalWidth="0" w:num="1">
        <w:col w:w="9019"/>
      </w:cols>
      <w:pgMar w:left="1440" w:top="1440" w:right="1440" w:bottom="88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2026-05-27T08:21:05Z</dcterms:created>
  <dcterms:modified xsi:type="dcterms:W3CDTF">2026-05-27T08:21:05Z</dcterms:modified>
</cp:coreProperties>
</file>