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Repay Holdings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Alex Vezendan</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3889 Maple Avenue, Suite 220,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Dallas, TX, 75219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913-908-4943</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Freedman,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Veradace Capital Management LLC</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7,301,290.00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7,301,290.00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7,301,290.00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Veradace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7,301,290.00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7,301,290.00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7,301,290.00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Alexander Vezendan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69,500.00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7,301,290.00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4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69,500.00</w:t>
            </w:r>
          </w:p>
        </w:tc>
        <w:tc>
          <w:tcPr>
            <w:tcW w:w="0" w:type="dxa"/>
            <w:vAlign w:val="bottom"/>
          </w:tcPr>
          <w:p>
            <w:pPr>
              <w:spacing w:after="0"/>
              <w:rPr>
                <w:sz w:val="1"/>
                <w:szCs w:val="1"/>
                <w:color w:val="auto"/>
              </w:rPr>
            </w:pPr>
          </w:p>
        </w:tc>
      </w:tr>
    </w:tbl>
    <w:p>
      <w:pPr>
        <w:sectPr>
          <w:pgSz w:w="11900" w:h="16849" w:orient="portrait"/>
          <w:cols w:equalWidth="0" w:num="1">
            <w:col w:w="10099"/>
          </w:cols>
          <w:pgMar w:left="360" w:top="369"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7,301,290.00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7,370,790.00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Conlin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7,301,290.00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7,301,290.00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7,301,290.00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Repay Holdings Corporation</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3060 PEACHTREE ROAD NW, SUITE 1100, ATLANTA, GEORGIA , 30305.</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Item 3 is hereby amended and restated as follows: As of the date hereof, the Fund held voting and dispositive power</w:t>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over 7,301,290 shares of Class A Common Stock, par value $0.0001 per share (the "Shares"), including options to</w:t>
      </w:r>
    </w:p>
    <w:p>
      <w:pPr>
        <w:ind w:left="940"/>
        <w:spacing w:after="0" w:line="230" w:lineRule="auto"/>
        <w:rPr>
          <w:sz w:val="20"/>
          <w:szCs w:val="20"/>
          <w:color w:val="auto"/>
        </w:rPr>
      </w:pPr>
      <w:r>
        <w:rPr>
          <w:rFonts w:ascii="Times New Roman" w:cs="Times New Roman" w:eastAsia="Times New Roman" w:hAnsi="Times New Roman"/>
          <w:sz w:val="22"/>
          <w:szCs w:val="22"/>
          <w:color w:val="auto"/>
        </w:rPr>
        <w:t>acquire 110,400 Shares, representing a combined total of 8.1% of the outstanding Shares. The aggregate purchase</w:t>
      </w:r>
    </w:p>
    <w:p>
      <w:pPr>
        <w:ind w:left="940"/>
        <w:spacing w:after="0" w:line="231" w:lineRule="auto"/>
        <w:rPr>
          <w:sz w:val="20"/>
          <w:szCs w:val="20"/>
          <w:color w:val="auto"/>
        </w:rPr>
      </w:pPr>
      <w:r>
        <w:rPr>
          <w:rFonts w:ascii="Times New Roman" w:cs="Times New Roman" w:eastAsia="Times New Roman" w:hAnsi="Times New Roman"/>
          <w:sz w:val="22"/>
          <w:szCs w:val="22"/>
          <w:color w:val="auto"/>
        </w:rPr>
        <w:t>price of the 7,301,290 Shares directly beneficially owned by the Fund is $31,099,007, excluding brokerage</w:t>
      </w:r>
    </w:p>
    <w:p>
      <w:pPr>
        <w:ind w:left="940"/>
        <w:spacing w:after="0" w:line="230" w:lineRule="auto"/>
        <w:rPr>
          <w:sz w:val="20"/>
          <w:szCs w:val="20"/>
          <w:color w:val="auto"/>
        </w:rPr>
      </w:pPr>
      <w:r>
        <w:rPr>
          <w:rFonts w:ascii="Times New Roman" w:cs="Times New Roman" w:eastAsia="Times New Roman" w:hAnsi="Times New Roman"/>
          <w:sz w:val="22"/>
          <w:szCs w:val="22"/>
          <w:color w:val="auto"/>
        </w:rPr>
        <w:t>commissions. The aggregate purchase price of the 69,500 Shares directly beneficially owned by Mr. Vezendan is</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$246,500, excluding brokerage commissions. No borrowed funds were used to purchase the Shares, other than under</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margin accounts with a brokerage firm in the ordinary course of business. Positions in Issuer securities may be held in</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margin accounts and may be pledged as collateral security for the repayment of debit balances in such accounts. Such</w:t>
      </w:r>
    </w:p>
    <w:p>
      <w:pPr>
        <w:ind w:left="940"/>
        <w:spacing w:after="0" w:line="231" w:lineRule="auto"/>
        <w:rPr>
          <w:sz w:val="20"/>
          <w:szCs w:val="20"/>
          <w:color w:val="auto"/>
        </w:rPr>
      </w:pPr>
      <w:r>
        <w:rPr>
          <w:rFonts w:ascii="Times New Roman" w:cs="Times New Roman" w:eastAsia="Times New Roman" w:hAnsi="Times New Roman"/>
          <w:sz w:val="22"/>
          <w:szCs w:val="22"/>
          <w:color w:val="auto"/>
        </w:rPr>
        <w:t>margin accounts may from time to time have debit balances. In addition, since other securities may be held in such</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margin accounts, it may not be possible to determine the amounts, if any, of margin used to purchase the Shares. The</w:t>
      </w:r>
    </w:p>
    <w:p>
      <w:pPr>
        <w:ind w:left="940"/>
        <w:spacing w:after="0" w:line="231" w:lineRule="auto"/>
        <w:rPr>
          <w:sz w:val="20"/>
          <w:szCs w:val="20"/>
          <w:color w:val="auto"/>
        </w:rPr>
      </w:pPr>
      <w:r>
        <w:rPr>
          <w:rFonts w:ascii="Times New Roman" w:cs="Times New Roman" w:eastAsia="Times New Roman" w:hAnsi="Times New Roman"/>
          <w:sz w:val="22"/>
          <w:szCs w:val="22"/>
          <w:color w:val="auto"/>
        </w:rPr>
        <w:t>funds for the purchase of the Shares directly beneficially owned by the Fund came from the working capital of the</w:t>
      </w:r>
    </w:p>
    <w:p>
      <w:pPr>
        <w:ind w:left="940"/>
        <w:spacing w:after="0" w:line="231" w:lineRule="auto"/>
        <w:rPr>
          <w:sz w:val="20"/>
          <w:szCs w:val="20"/>
          <w:color w:val="auto"/>
        </w:rPr>
      </w:pPr>
      <w:r>
        <w:rPr>
          <w:rFonts w:ascii="Times New Roman" w:cs="Times New Roman" w:eastAsia="Times New Roman" w:hAnsi="Times New Roman"/>
          <w:sz w:val="22"/>
          <w:szCs w:val="22"/>
          <w:color w:val="auto"/>
        </w:rPr>
        <w:t>Fund and the funds for the purchase of the Shares directly beneficially owned by Mr. Vezendan came from Mr.</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Vezendan's personal savings.</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45" w:lineRule="auto"/>
        <w:rPr>
          <w:sz w:val="20"/>
          <w:szCs w:val="20"/>
          <w:color w:val="auto"/>
        </w:rPr>
      </w:pPr>
      <w:r>
        <w:rPr>
          <w:rFonts w:ascii="Times New Roman" w:cs="Times New Roman" w:eastAsia="Times New Roman" w:hAnsi="Times New Roman"/>
          <w:sz w:val="21"/>
          <w:szCs w:val="21"/>
          <w:color w:val="auto"/>
        </w:rPr>
        <w:t>Item 4 is hereby amended and supplemented by the addition of the following: On June 2, 2026, the Reporting Persons delivered a notice to the Issuer withdrawing the nomination by the Reporting Persons of Mr. Vezendan and Mr. Jacobs for election to the board of directors of the Issuer (the "Board"). On June 4, 2026, the Reporting Persons issued a press release regarding an open letter (the "Press Release") from certain of the Reporting Persons to the shareholders of the Issuer regarding the withdrawal of such nominations and stating the intention of the Reporting Persons to withhold votes for all members of the Board at the Issuer's 2026 annual meeting of stockholders, based on the Reporting Persons' belief that urgent changes to the governance of the Issuer are needed to prevent the destruction of shareholder value and that withholding votes for the incumbent directors is the best way for the Reporting Persons to deliver this message and express their dissatisfaction with the Board's failure to engage with Forager Capital's recent acquisition proposal, its decision to proceed with the acquisition of KUBRA, and its compensation practices, which the Reporting Persons believe significantly dilute shareholders and reward underperformance by management. A copy of the Press Release is attached hereto as Exhibit 99.1 and incorporated by reference herein.</w:t>
      </w:r>
    </w:p>
    <w:p>
      <w:pPr>
        <w:spacing w:after="0" w:line="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line="245" w:lineRule="auto"/>
        <w:rPr>
          <w:sz w:val="20"/>
          <w:szCs w:val="20"/>
          <w:color w:val="auto"/>
        </w:rPr>
      </w:pPr>
      <w:r>
        <w:rPr>
          <w:rFonts w:ascii="Times New Roman" w:cs="Times New Roman" w:eastAsia="Times New Roman" w:hAnsi="Times New Roman"/>
          <w:sz w:val="21"/>
          <w:szCs w:val="21"/>
          <w:color w:val="auto"/>
        </w:rPr>
        <w:t>Item 5(a) is amended and restated as follows: The aggregate percentage of Shares reported beneficially owned by the Reporting Persons is based on 89,672,978 shares of Common Stock outstanding as of April 29, 2026, as reported in the Issuer's Quarterly Report on Form 10-Q for the fiscal quarter ended March 31, 2026, filed with the Securities and Exchange Commission on May 4, 2026. As of the date hereof, Veradace, as investment manager of the Fund, may be deemed to beneficially own the 7,301,290 Shares directly beneficially owned by the Fund, constituting approximately 8.1% of the outstanding Shares. As of the date hereof, the Fund directly beneficially owned 7,301,290 Shares,</w:t>
      </w:r>
    </w:p>
    <w:p>
      <w:pPr>
        <w:spacing w:after="0" w:line="3" w:lineRule="exact"/>
        <w:rPr>
          <w:sz w:val="20"/>
          <w:szCs w:val="20"/>
          <w:color w:val="auto"/>
        </w:rPr>
      </w:pPr>
    </w:p>
    <w:p>
      <w:pPr>
        <w:ind w:left="940" w:right="80" w:hanging="932"/>
        <w:spacing w:after="0" w:line="216" w:lineRule="auto"/>
        <w:tabs>
          <w:tab w:leader="none" w:pos="94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including 7,190,890 Shares held directly and 110,400 Shares underlying call options held by the Fund, constituting approximately 8.1% of the outstanding Shares. As of the date hereof, Mr. Vezendan may be deemed to beneficially own 7,370,790 Shares, constituting approximately 8.2% of the outstanding Shares and consisting of (i) the 7,301,290 Shares directly beneficially owned by the Fund, as principal of each of Veradace and the Fund and (ii) 69,500 Shares directly beneficially owned by Mr. Vezendan. As of the date hereof, as principal and Chief Compliance Officer of Veradace, Mr. Conlin may be deemed to beneficially own the 7,301,290 Shares directly beneficially owned by the Fund, constituting approximately 8.1% of the outstanding Shares. Each Reporting Person disclaims beneficial ownership of the reported securities except to the extent of his or its pecuniary interest therein.</w:t>
      </w:r>
    </w:p>
    <w:p>
      <w:pPr>
        <w:sectPr>
          <w:pgSz w:w="11900" w:h="16838" w:orient="portrait"/>
          <w:cols w:equalWidth="0" w:num="1">
            <w:col w:w="11140"/>
          </w:cols>
          <w:pgMar w:left="360" w:top="355" w:right="399" w:bottom="0" w:gutter="0" w:footer="0" w:header="0"/>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Times New Roman" w:cs="Times New Roman" w:eastAsia="Times New Roman" w:hAnsi="Times New Roman"/>
          <w:sz w:val="21"/>
          <w:szCs w:val="21"/>
          <w:color w:val="auto"/>
        </w:rPr>
        <w:t>The transactions in the Shares by the Reporting Persons since the most recent filing of Schedule 13D are set forth in Exhibit 1 and are incorporated herein by reference. Each of these transactions was executed through the open market.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Material to be Filed as Exhibits.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 Transactions in Shares 99.1 - Press Release, dated June 4, 2026</w:t>
      </w:r>
    </w:p>
    <w:p>
      <w:pPr>
        <w:sectPr>
          <w:pgSz w:w="11900" w:h="16838" w:orient="portrait"/>
          <w:cols w:equalWidth="0" w:num="2">
            <w:col w:w="620" w:space="320"/>
            <w:col w:w="10200"/>
          </w:cols>
          <w:pgMar w:left="360" w:top="355" w:right="39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Veradace Capital Management LLC</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Alexander Vezedan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Principal</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Veradace Partners LP</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Alexander Vezedan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Principal</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Alexander Vezendan</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Alexander Vezedan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Alexander Vezedan</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John Conlin</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Conlin</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John Conlin</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ectPr>
          <w:pgSz w:w="11900" w:h="16838" w:orient="portrait"/>
          <w:cols w:equalWidth="0" w:num="1">
            <w:col w:w="10920"/>
          </w:cols>
          <w:pgMar w:left="580" w:top="396"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40" w:type="dxa"/>
            <w:vAlign w:val="bottom"/>
            <w:gridSpan w:val="8"/>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Transactions in the Securities of the Issuer Since the Filing of Amendment No. 1</w:t>
            </w: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34"/>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Borders>
              <w:top w:val="single" w:sz="8" w:color="auto"/>
            </w:tcBorders>
            <w:gridSpan w:val="4"/>
          </w:tcPr>
          <w:p>
            <w:pPr>
              <w:jc w:val="center"/>
              <w:ind w:right="720"/>
              <w:spacing w:after="0"/>
              <w:rPr>
                <w:sz w:val="20"/>
                <w:szCs w:val="20"/>
                <w:color w:val="auto"/>
              </w:rPr>
            </w:pPr>
            <w:r>
              <w:rPr>
                <w:rFonts w:ascii="Times New Roman" w:cs="Times New Roman" w:eastAsia="Times New Roman" w:hAnsi="Times New Roman"/>
                <w:sz w:val="18"/>
                <w:szCs w:val="18"/>
                <w:color w:val="auto"/>
                <w:w w:val="98"/>
              </w:rPr>
              <w:t>Amount of Securities</w:t>
            </w: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500" w:type="dxa"/>
            <w:vAlign w:val="bottom"/>
          </w:tcPr>
          <w:p>
            <w:pPr>
              <w:spacing w:after="0"/>
              <w:rPr>
                <w:sz w:val="16"/>
                <w:szCs w:val="16"/>
                <w:color w:val="auto"/>
              </w:rPr>
            </w:pPr>
          </w:p>
        </w:tc>
        <w:tc>
          <w:tcPr>
            <w:tcW w:w="1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Nature of the Transaction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1760" w:type="dxa"/>
            <w:vAlign w:val="bottom"/>
            <w:gridSpan w:val="2"/>
          </w:tcPr>
          <w:p>
            <w:pPr>
              <w:spacing w:after="0"/>
              <w:rPr>
                <w:sz w:val="16"/>
                <w:szCs w:val="16"/>
                <w:color w:val="auto"/>
              </w:rPr>
            </w:pPr>
          </w:p>
        </w:tc>
        <w:tc>
          <w:tcPr>
            <w:tcW w:w="2080" w:type="dxa"/>
            <w:vAlign w:val="bottom"/>
            <w:gridSpan w:val="3"/>
          </w:tcPr>
          <w:p>
            <w:pPr>
              <w:jc w:val="center"/>
              <w:ind w:right="1220"/>
              <w:spacing w:after="0" w:line="194" w:lineRule="exact"/>
              <w:rPr>
                <w:sz w:val="20"/>
                <w:szCs w:val="20"/>
                <w:color w:val="auto"/>
              </w:rPr>
            </w:pPr>
            <w:r>
              <w:rPr>
                <w:rFonts w:ascii="Times New Roman" w:cs="Times New Roman" w:eastAsia="Times New Roman" w:hAnsi="Times New Roman"/>
                <w:sz w:val="18"/>
                <w:szCs w:val="18"/>
                <w:color w:val="auto"/>
                <w:w w:val="99"/>
              </w:rPr>
              <w:t xml:space="preserve">Price </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w:t>
            </w:r>
          </w:p>
        </w:tc>
        <w:tc>
          <w:tcPr>
            <w:tcW w:w="2560" w:type="dxa"/>
            <w:vAlign w:val="bottom"/>
            <w:gridSpan w:val="3"/>
          </w:tcPr>
          <w:p>
            <w:pPr>
              <w:jc w:val="center"/>
              <w:ind w:right="240"/>
              <w:spacing w:after="0" w:line="194" w:lineRule="exact"/>
              <w:rPr>
                <w:sz w:val="20"/>
                <w:szCs w:val="20"/>
                <w:color w:val="auto"/>
              </w:rPr>
            </w:pPr>
            <w:r>
              <w:rPr>
                <w:rFonts w:ascii="Times New Roman" w:cs="Times New Roman" w:eastAsia="Times New Roman" w:hAnsi="Times New Roman"/>
                <w:sz w:val="18"/>
                <w:szCs w:val="18"/>
                <w:color w:val="auto"/>
                <w:w w:val="98"/>
              </w:rPr>
              <w:t>Purchase/Sale</w:t>
            </w:r>
          </w:p>
        </w:tc>
      </w:tr>
      <w:tr>
        <w:trPr>
          <w:trHeight w:val="20"/>
        </w:trPr>
        <w:tc>
          <w:tcPr>
            <w:tcW w:w="5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Veradace Partners LP</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Shares</w:t>
            </w:r>
          </w:p>
        </w:tc>
        <w:tc>
          <w:tcPr>
            <w:tcW w:w="2400" w:type="dxa"/>
            <w:vAlign w:val="bottom"/>
            <w:tcBorders>
              <w:right w:val="single" w:sz="8" w:color="CCEEFF"/>
            </w:tcBorders>
            <w:gridSpan w:val="3"/>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300</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$3.310</w:t>
            </w:r>
          </w:p>
        </w:tc>
        <w:tc>
          <w:tcPr>
            <w:tcW w:w="13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05/20/2026</w:t>
            </w:r>
          </w:p>
        </w:tc>
        <w:tc>
          <w:tcPr>
            <w:tcW w:w="90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Veradace Partners Withdraws Director Nominations and Announces Intent to Withhold Votes from Current Repay Directors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Reiterates Belief That Shareholder Representatives are Needed on Repay’s Board to Rectify Governance Shortcomings</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Notes KUBRA Already Appears to be Underperforming Initial Expectations based on June 1, 2026 Guidance relative to the March 31, 2026 Deal Announcement Update Call</w:t>
      </w:r>
    </w:p>
    <w:p>
      <w:pPr>
        <w:spacing w:after="0" w:line="3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DALLAS – June 4, 2026 – Veradace Partners L.P., collectively with its affiliates, a significant shareholder of Repay Holdings Corporation (Nasdaq: RPAY) (the “Company”) with beneficial ownership of 8.2% of the outstanding Class A Shares, issued an open letter to the Company’s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letter is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Fellow Repay Shareholders,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Veradace Partners L.P. (collectively with its affiliates, “Veradace” or “we”) is profoundly disappointed in the unwillingness demonstrated by Repay Holdings Corporation (“Repay” or the “Company”) to work constructively with its shareholders to improve its governance and explore alternatives to the KUBRA acquisition. In light of the failure of Repay’s board of directors (the “Board”) to engage with our nomination in any meaningful way, we have withdrawn our nomination of candidates to the Board at the Company’s 2026 annual meeting of stockholders (the “Annual Meeting”). We continue to believe urgent changes to the governance of the Company are necessary to prevent the further destruction of shareholder value, and to make this clear to the Board, we intend to WITHHOLD our votes from all current members of the Board at the Annual Meeting.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decision to WITHHOLD is not made lightly, but recent events, including the Board’s rejection of Forager Capital’s $4.80 per share acquisition proposal as “significantly undervaluing” Repay, have led us to conclude that we cannot in good conscience vote for any member of the Board. A board that refuses to entertain discussions with a potential buyer offering a substantial premium seems like bad governance to us. Consider that in the 12 days following the KUBRA announcement, 21.8mm, or 25% of the outstanding Class A common stock, traded for an average price of $2.69 with a high of $3.29. On the day of the Forager proposal, 25.1mm shares, or 29.2% of the outstanding, traded and closed at $4.11. Over 50% of the Class A common stock changed hands at significantly lower prices that the Forager proposal – shareholders are voting with their feet and selling shares.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a board that claims that a $4.80 offer significantly undervalues the company yet doubles the amount of dilution they grant to management at a stock price of $2.84 seems to us like a board that has complete disregarded its fiduciary duty. In Q1 2026 the Board granted employees 6.1mm shares or 6.7% of the Class A and Class V shares outstanding. This is more than double the trailing 4-year average dilution of 3.2% and comes after 19.3mm of shares (a whopping 27%) voted “no” in last year’s “Say-on-Pay” vote. The majority of the grants are Restricted Stock Awards, not performance based, granted at a weighted average price of $2.84. The Company’s proxy statement for the Annual Meeting claims the Board has received and responded to significant shareholder feedback regarding better alignment between pay and performance, but what we’ve seen suggests the opposite. Apparently the Board believes that doubling dilution to compensate management is the sort of pay structure that is aligned with a 52% decline in share price in 2025 and the first revenue decline year in company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1494155</wp:posOffset>
            </wp:positionH>
            <wp:positionV relativeFrom="page">
              <wp:posOffset>517525</wp:posOffset>
            </wp:positionV>
            <wp:extent cx="4594860" cy="2768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459486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Source: Company filings</w:t>
      </w:r>
    </w:p>
    <w:p>
      <w:pPr>
        <w:spacing w:after="0" w:line="22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Incredibly, while the ink is still wet on the KUBRA acquisition Repay already appears to be lowering expectations. Repay’s updated guidance, issued on June 1, 2026, suggests an EBITDA contribution in 2026 of $27.5 to $30.0mm from KUBRA for the final 7 months of 2026.</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This suggests $47.1 to $51.4mm annualized over 12 months inclusive of 2026 synergies. On the KUBRA announcement call on March 31, 2026, management responded to an analyst question on growth suggesting growth in the “mid-single digit range.” But that’s not what the new guidance indicates:</w:t>
      </w:r>
    </w:p>
    <w:p>
      <w:pPr>
        <w:spacing w:after="0" w:line="19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$47.1mm low end of KUBRA implied annualized EBITDA guidance is below the $49mm EBITDA KUBRA produced in 2025.</w:t>
      </w:r>
    </w:p>
    <w:p>
      <w:pPr>
        <w:spacing w:after="0" w:line="26"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$51.4mm high end of KUBRA implied annualized EBITDA guidance is below the $51.5mm EBITDA one would expect with a 5% growth rate on 2025 EBITDA.</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This range already includes an expected $8mm in run-rate expense synergies in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$27.5-30.0mm implied KUBRA contribution: $168.5-176.0mm updated EBITDA guidance - $141-146mm prior EBITDA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Apparently, in the 3 months since the deal was announced, at which time the Board and management vigorously defended it, KUBRA has gone from an industry growth business to a no-growth to declining asset.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deeply concerned the current Board is not looking after shareholders’ interests. We believe new, truly independent directors should comprise the majority of Repay’s Board. We still hope to constructively engage with the Company to improve governance that appears severely lacking. Until then, we will let our vote speak for itself.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Vezendan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and Chief Investment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Veradace Capital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 of Veradace Partners LP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Veradace Partners L.P.</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Veradace Partners is a concentrated, long-term, public equity investment partnership that seeks to invest in high-quality businesses. Veradace takes a long-term and constructive approach to working with management teams. Veradace has a track record of working with companies to create long-term value.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Veradace Capital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info@veradacecapital.com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2026-06-04T14:54:31Z</dcterms:created>
  <dcterms:modified xsi:type="dcterms:W3CDTF">2026-06-04T14:54:31Z</dcterms:modified>
</cp:coreProperties>
</file>