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Rios Emnet Legesse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REPAY HOLDINGS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3060 PEACHTREE ROAD NW,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Repay Holdings Corp</w:t>
              </w:r>
            </w:hyperlink>
            <w:r>
              <w:rPr/>
              <w:t xml:space="preserve"> [ </w:t>
            </w:r>
            <w:r>
              <w:rPr>
                <w:rFonts w:ascii="Times;serif" w:hAnsi="Times;serif"/>
                <w:color w:val="0000FF"/>
                <w:sz w:val="24"/>
                <w:shd w:fill="FFFFFF" w:val="clear"/>
              </w:rPr>
              <w:t>RPAY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50,295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147,398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that vest on the earlier of: (a) the one-year anniversary of the grant date, and (b) the next regularly scheduled annual meeting of stockholders of Issuer that is at least 50 weeks after the grant date. The shares subject to the units will be issued to the Reporting Person after the Reporting Person ceases to be a director of the Issuer pursuant to the terms of the award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Tyler B. Dempsey,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3892" TargetMode="External"/><Relationship Id="rId5" Type="http://schemas.openxmlformats.org/officeDocument/2006/relationships/hyperlink" Target="http://www.sec.gov/cgi-bin/browse-edgar?action=getcompany&amp;CIK=00017205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3432</Characters>
  <CharactersWithSpaces>4017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