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Corsair Capital LLC</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780" w:type="dxa"/>
            <w:vAlign w:val="bottom"/>
            <w:tcBorders>
              <w:top w:val="single" w:sz="8" w:color="0000EE"/>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07/11/2019</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820" w:type="dxa"/>
            <w:vAlign w:val="bottom"/>
          </w:tcPr>
          <w:p>
            <w:pPr>
              <w:ind w:left="8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717 FIFTH AVENUE, 24TH FLOOR</w:t>
            </w:r>
          </w:p>
        </w:tc>
      </w:tr>
      <w:tr>
        <w:trPr>
          <w:trHeight w:val="212"/>
        </w:trPr>
        <w:tc>
          <w:tcPr>
            <w:tcW w:w="2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820" w:type="dxa"/>
            <w:vAlign w:val="bottom"/>
          </w:tcPr>
          <w:p>
            <w:pPr>
              <w:ind w:left="80"/>
              <w:spacing w:after="0"/>
              <w:rPr>
                <w:sz w:val="20"/>
                <w:szCs w:val="20"/>
                <w:color w:val="auto"/>
              </w:rPr>
            </w:pPr>
            <w:r>
              <w:rPr>
                <w:rFonts w:ascii="Arial" w:cs="Arial" w:eastAsia="Arial" w:hAnsi="Arial"/>
                <w:sz w:val="18"/>
                <w:szCs w:val="18"/>
                <w:color w:val="0000FF"/>
              </w:rPr>
              <w:t>NY</w:t>
            </w:r>
          </w:p>
        </w:tc>
        <w:tc>
          <w:tcPr>
            <w:tcW w:w="1380" w:type="dxa"/>
            <w:vAlign w:val="bottom"/>
          </w:tcPr>
          <w:p>
            <w:pPr>
              <w:ind w:left="340"/>
              <w:spacing w:after="0"/>
              <w:rPr>
                <w:sz w:val="20"/>
                <w:szCs w:val="20"/>
                <w:color w:val="auto"/>
              </w:rPr>
            </w:pPr>
            <w:r>
              <w:rPr>
                <w:rFonts w:ascii="Arial" w:cs="Arial" w:eastAsia="Arial" w:hAnsi="Arial"/>
                <w:sz w:val="18"/>
                <w:szCs w:val="18"/>
                <w:color w:val="0000FF"/>
              </w:rPr>
              <w:t>10022</w:t>
            </w: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(City)</w:t>
            </w:r>
          </w:p>
        </w:tc>
        <w:tc>
          <w:tcPr>
            <w:tcW w:w="820" w:type="dxa"/>
            <w:vAlign w:val="bottom"/>
          </w:tcPr>
          <w:p>
            <w:pPr>
              <w:ind w:left="8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Repay Holdings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RPAY</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880" w:type="dxa"/>
            <w:vAlign w:val="bottom"/>
          </w:tcPr>
          <w:p>
            <w:pPr>
              <w:ind w:left="80"/>
              <w:spacing w:after="0"/>
              <w:rPr>
                <w:sz w:val="20"/>
                <w:szCs w:val="20"/>
                <w:color w:val="auto"/>
              </w:rPr>
            </w:pPr>
            <w:r>
              <w:rPr>
                <w:rFonts w:ascii="Arial" w:cs="Arial" w:eastAsia="Arial" w:hAnsi="Arial"/>
                <w:sz w:val="14"/>
                <w:szCs w:val="14"/>
                <w:color w:val="auto"/>
              </w:rPr>
              <w:t>5. If Amendment, Date of Original Filed</w:t>
            </w:r>
          </w:p>
        </w:tc>
      </w:tr>
      <w:tr>
        <w:trPr>
          <w:trHeight w:val="141"/>
        </w:trPr>
        <w:tc>
          <w:tcPr>
            <w:tcW w:w="1660" w:type="dxa"/>
            <w:vAlign w:val="bottom"/>
          </w:tcPr>
          <w:p>
            <w:pPr>
              <w:spacing w:after="0" w:line="141" w:lineRule="exact"/>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2"/>
                <w:szCs w:val="12"/>
                <w:color w:val="auto"/>
              </w:rPr>
            </w:pPr>
          </w:p>
        </w:tc>
        <w:tc>
          <w:tcPr>
            <w:tcW w:w="2880" w:type="dxa"/>
            <w:vAlign w:val="bottom"/>
          </w:tcPr>
          <w:p>
            <w:pPr>
              <w:ind w:left="80"/>
              <w:spacing w:after="0" w:line="141" w:lineRule="exact"/>
              <w:rPr>
                <w:sz w:val="20"/>
                <w:szCs w:val="20"/>
                <w:color w:val="auto"/>
              </w:rPr>
            </w:pPr>
            <w:r>
              <w:rPr>
                <w:rFonts w:ascii="Arial" w:cs="Arial" w:eastAsia="Arial" w:hAnsi="Arial"/>
                <w:sz w:val="14"/>
                <w:szCs w:val="14"/>
                <w:color w:val="auto"/>
              </w:rPr>
              <w:t>(Month/Day/Year)</w:t>
            </w:r>
          </w:p>
        </w:tc>
      </w:tr>
      <w:tr>
        <w:trPr>
          <w:trHeight w:val="263"/>
        </w:trPr>
        <w:tc>
          <w:tcPr>
            <w:tcW w:w="1660" w:type="dxa"/>
            <w:vAlign w:val="bottom"/>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66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2880" w:type="dxa"/>
            <w:vAlign w:val="bottom"/>
          </w:tcPr>
          <w:p>
            <w:pPr>
              <w:ind w:left="80"/>
              <w:spacing w:after="0"/>
              <w:rPr>
                <w:sz w:val="20"/>
                <w:szCs w:val="20"/>
                <w:color w:val="auto"/>
              </w:rPr>
            </w:pPr>
            <w:r>
              <w:rPr>
                <w:rFonts w:ascii="Arial" w:cs="Arial" w:eastAsia="Arial" w:hAnsi="Arial"/>
                <w:sz w:val="18"/>
                <w:szCs w:val="18"/>
                <w:color w:val="0000FF"/>
              </w:rPr>
              <w:t>07/22/2019</w:t>
            </w:r>
          </w:p>
        </w:tc>
      </w:tr>
      <w:tr>
        <w:trPr>
          <w:trHeight w:val="158"/>
        </w:trPr>
        <w:tc>
          <w:tcPr>
            <w:tcW w:w="1660" w:type="dxa"/>
            <w:vAlign w:val="bottom"/>
          </w:tcPr>
          <w:p>
            <w:pPr>
              <w:ind w:left="540"/>
              <w:spacing w:after="0" w:line="157" w:lineRule="exact"/>
              <w:rPr>
                <w:sz w:val="20"/>
                <w:szCs w:val="20"/>
                <w:color w:val="auto"/>
              </w:rPr>
            </w:pPr>
            <w:r>
              <w:rPr>
                <w:rFonts w:ascii="Arial" w:cs="Arial" w:eastAsia="Arial" w:hAnsi="Arial"/>
                <w:sz w:val="14"/>
                <w:szCs w:val="14"/>
                <w:color w:val="auto"/>
              </w:rPr>
              <w:t>Officer (give title</w:t>
            </w:r>
          </w:p>
        </w:tc>
        <w:tc>
          <w:tcPr>
            <w:tcW w:w="1660" w:type="dxa"/>
            <w:vAlign w:val="bottom"/>
          </w:tcPr>
          <w:p>
            <w:pPr>
              <w:ind w:left="500"/>
              <w:spacing w:after="0" w:line="157" w:lineRule="exact"/>
              <w:rPr>
                <w:sz w:val="20"/>
                <w:szCs w:val="20"/>
                <w:color w:val="auto"/>
              </w:rPr>
            </w:pPr>
            <w:r>
              <w:rPr>
                <w:rFonts w:ascii="Arial" w:cs="Arial" w:eastAsia="Arial" w:hAnsi="Arial"/>
                <w:sz w:val="14"/>
                <w:szCs w:val="14"/>
                <w:color w:val="auto"/>
              </w:rPr>
              <w:t>Other (specify</w:t>
            </w:r>
          </w:p>
        </w:tc>
        <w:tc>
          <w:tcPr>
            <w:tcW w:w="2880" w:type="dxa"/>
            <w:vAlign w:val="bottom"/>
            <w:tcBorders>
              <w:bottom w:val="single" w:sz="8" w:color="2C2C2C"/>
            </w:tcBorders>
          </w:tcPr>
          <w:p>
            <w:pPr>
              <w:spacing w:after="0"/>
              <w:rPr>
                <w:sz w:val="13"/>
                <w:szCs w:val="13"/>
                <w:color w:val="auto"/>
              </w:rPr>
            </w:pPr>
          </w:p>
        </w:tc>
      </w:tr>
      <w:tr>
        <w:trPr>
          <w:trHeight w:val="202"/>
        </w:trPr>
        <w:tc>
          <w:tcPr>
            <w:tcW w:w="1660" w:type="dxa"/>
            <w:vAlign w:val="bottom"/>
          </w:tcPr>
          <w:p>
            <w:pPr>
              <w:ind w:left="540"/>
              <w:spacing w:after="0"/>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rPr>
                <w:sz w:val="20"/>
                <w:szCs w:val="20"/>
                <w:color w:val="auto"/>
              </w:rPr>
            </w:pPr>
            <w:r>
              <w:rPr>
                <w:rFonts w:ascii="Arial" w:cs="Arial" w:eastAsia="Arial" w:hAnsi="Arial"/>
                <w:sz w:val="14"/>
                <w:szCs w:val="14"/>
                <w:color w:val="auto"/>
              </w:rPr>
              <w:t>below)</w:t>
            </w:r>
          </w:p>
        </w:tc>
        <w:tc>
          <w:tcPr>
            <w:tcW w:w="2880" w:type="dxa"/>
            <w:vAlign w:val="bottom"/>
          </w:tcPr>
          <w:p>
            <w:pPr>
              <w:ind w:left="80"/>
              <w:spacing w:after="0"/>
              <w:rPr>
                <w:sz w:val="20"/>
                <w:szCs w:val="20"/>
                <w:color w:val="auto"/>
              </w:rPr>
            </w:pPr>
            <w:r>
              <w:rPr>
                <w:rFonts w:ascii="Arial" w:cs="Arial" w:eastAsia="Arial" w:hAnsi="Arial"/>
                <w:sz w:val="14"/>
                <w:szCs w:val="14"/>
                <w:color w:val="auto"/>
              </w:rPr>
              <w:t>6. Individual or Joint/Group Filing (Check</w:t>
            </w:r>
          </w:p>
        </w:tc>
      </w:tr>
      <w:tr>
        <w:trPr>
          <w:trHeight w:val="162"/>
        </w:trPr>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80" w:type="dxa"/>
            <w:vAlign w:val="bottom"/>
          </w:tcPr>
          <w:p>
            <w:pPr>
              <w:ind w:left="80"/>
              <w:spacing w:after="0"/>
              <w:rPr>
                <w:sz w:val="20"/>
                <w:szCs w:val="20"/>
                <w:color w:val="auto"/>
              </w:rPr>
            </w:pPr>
            <w:r>
              <w:rPr>
                <w:rFonts w:ascii="Arial" w:cs="Arial" w:eastAsia="Arial" w:hAnsi="Arial"/>
                <w:sz w:val="14"/>
                <w:szCs w:val="14"/>
                <w:color w:val="auto"/>
              </w:rPr>
              <w:t>Applicable Line)</w:t>
            </w:r>
          </w:p>
        </w:tc>
      </w:tr>
    </w:tbl>
    <w:p>
      <w:pPr>
        <w:spacing w:after="0" w:line="27" w:lineRule="exact"/>
        <w:rPr>
          <w:sz w:val="24"/>
          <w:szCs w:val="24"/>
          <w:color w:val="auto"/>
        </w:rPr>
      </w:pPr>
    </w:p>
    <w:tbl>
      <w:tblPr>
        <w:tblLayout w:type="fixed"/>
        <w:tblInd w:w="356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2260" w:type="dxa"/>
            <w:vAlign w:val="bottom"/>
          </w:tcPr>
          <w:p>
            <w:pPr>
              <w:ind w:left="100"/>
              <w:spacing w:after="0"/>
              <w:rPr>
                <w:sz w:val="20"/>
                <w:szCs w:val="20"/>
                <w:color w:val="auto"/>
              </w:rPr>
            </w:pPr>
            <w:r>
              <w:rPr>
                <w:rFonts w:ascii="Arial" w:cs="Arial" w:eastAsia="Arial" w:hAnsi="Arial"/>
                <w:sz w:val="14"/>
                <w:szCs w:val="14"/>
                <w:color w:val="auto"/>
                <w:w w:val="95"/>
              </w:rPr>
              <w:t>Form filed by One Reporting Person</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26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2260" w:type="dxa"/>
            <w:vAlign w:val="bottom"/>
            <w:vMerge w:val="restart"/>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7"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90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Class V Common Stock</w:t>
            </w:r>
            <w:r>
              <w:rPr>
                <w:rFonts w:ascii="Arial" w:cs="Arial" w:eastAsia="Arial" w:hAnsi="Arial"/>
                <w:sz w:val="22"/>
                <w:szCs w:val="22"/>
                <w:color w:val="008000"/>
                <w:vertAlign w:val="superscript"/>
              </w:rPr>
              <w:t>(1)</w:t>
            </w:r>
          </w:p>
        </w:tc>
        <w:tc>
          <w:tcPr>
            <w:tcW w:w="1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tcPr>
          <w:p>
            <w:pPr>
              <w:ind w:left="1340"/>
              <w:spacing w:after="0"/>
              <w:rPr>
                <w:sz w:val="20"/>
                <w:szCs w:val="20"/>
                <w:color w:val="auto"/>
              </w:rPr>
            </w:pPr>
            <w:r>
              <w:rPr>
                <w:rFonts w:ascii="Arial" w:cs="Arial" w:eastAsia="Arial" w:hAnsi="Arial"/>
                <w:sz w:val="18"/>
                <w:szCs w:val="18"/>
                <w:color w:val="0000FF"/>
              </w:rPr>
              <w:t>1</w:t>
            </w:r>
          </w:p>
        </w:tc>
        <w:tc>
          <w:tcPr>
            <w:tcW w:w="1420" w:type="dxa"/>
            <w:vAlign w:val="bottom"/>
            <w:tcBorders>
              <w:bottom w:val="single" w:sz="8" w:color="2C2C2C"/>
            </w:tcBorders>
          </w:tcPr>
          <w:p>
            <w:pPr>
              <w:ind w:left="1160"/>
              <w:spacing w:after="0"/>
              <w:rPr>
                <w:sz w:val="20"/>
                <w:szCs w:val="20"/>
                <w:color w:val="auto"/>
              </w:rPr>
            </w:pPr>
            <w:r>
              <w:rPr>
                <w:rFonts w:ascii="Arial" w:cs="Arial" w:eastAsia="Arial" w:hAnsi="Arial"/>
                <w:sz w:val="18"/>
                <w:szCs w:val="18"/>
                <w:color w:val="0000FF"/>
              </w:rPr>
              <w:t>I</w:t>
            </w:r>
          </w:p>
        </w:tc>
        <w:tc>
          <w:tcPr>
            <w:tcW w:w="1840" w:type="dxa"/>
            <w:vAlign w:val="bottom"/>
            <w:tcBorders>
              <w:bottom w:val="single" w:sz="8" w:color="2C2C2C"/>
            </w:tcBorders>
            <w:gridSpan w:val="2"/>
          </w:tcPr>
          <w:p>
            <w:pPr>
              <w:ind w:left="460"/>
              <w:spacing w:after="0"/>
              <w:rPr>
                <w:sz w:val="20"/>
                <w:szCs w:val="20"/>
                <w:color w:val="auto"/>
              </w:rPr>
            </w:pPr>
            <w:r>
              <w:rPr>
                <w:rFonts w:ascii="Arial" w:cs="Arial" w:eastAsia="Arial" w:hAnsi="Arial"/>
                <w:sz w:val="18"/>
                <w:szCs w:val="18"/>
                <w:color w:val="0000FF"/>
                <w:w w:val="79"/>
              </w:rPr>
              <w:t>See Footnotes</w:t>
            </w:r>
            <w:r>
              <w:rPr>
                <w:rFonts w:ascii="Arial" w:cs="Arial" w:eastAsia="Arial" w:hAnsi="Arial"/>
                <w:sz w:val="22"/>
                <w:szCs w:val="22"/>
                <w:color w:val="008000"/>
                <w:w w:val="79"/>
                <w:vertAlign w:val="superscript"/>
              </w:rPr>
              <w:t>(6)(7)(8)</w:t>
            </w:r>
          </w:p>
        </w:tc>
        <w:tc>
          <w:tcPr>
            <w:tcW w:w="15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2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5000" w:type="dxa"/>
            <w:vAlign w:val="bottom"/>
            <w:tcBorders>
              <w:top w:val="single" w:sz="8" w:color="2C2C2C"/>
            </w:tcBorders>
            <w:gridSpan w:val="7"/>
          </w:tcPr>
          <w:p>
            <w:pPr>
              <w:ind w:left="58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15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80" w:type="dxa"/>
            <w:vAlign w:val="bottom"/>
            <w:gridSpan w:val="8"/>
          </w:tcPr>
          <w:p>
            <w:pPr>
              <w:ind w:left="2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9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3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0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40" w:type="dxa"/>
            <w:vAlign w:val="bottom"/>
          </w:tcPr>
          <w:p>
            <w:pPr>
              <w:spacing w:after="0"/>
              <w:rPr>
                <w:sz w:val="16"/>
                <w:szCs w:val="16"/>
                <w:color w:val="auto"/>
              </w:rPr>
            </w:pPr>
          </w:p>
        </w:tc>
        <w:tc>
          <w:tcPr>
            <w:tcW w:w="1680" w:type="dxa"/>
            <w:vAlign w:val="bottom"/>
            <w:gridSpan w:val="5"/>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33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 Underlying</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96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520" w:type="dxa"/>
            <w:vAlign w:val="bottom"/>
            <w:gridSpan w:val="2"/>
          </w:tcPr>
          <w:p>
            <w:pPr>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1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w w:val="97"/>
              </w:rPr>
              <w:t>Derivative Security (Instr. 4)</w:t>
            </w:r>
          </w:p>
        </w:tc>
        <w:tc>
          <w:tcPr>
            <w:tcW w:w="14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9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9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9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96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5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15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900" w:type="dxa"/>
            <w:vAlign w:val="bottom"/>
          </w:tcPr>
          <w:p>
            <w:pPr>
              <w:spacing w:after="0"/>
              <w:rPr>
                <w:sz w:val="12"/>
                <w:szCs w:val="12"/>
                <w:color w:val="auto"/>
              </w:rPr>
            </w:pPr>
          </w:p>
        </w:tc>
        <w:tc>
          <w:tcPr>
            <w:tcW w:w="14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Amount or Number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Derivative</w:t>
            </w:r>
          </w:p>
        </w:tc>
        <w:tc>
          <w:tcPr>
            <w:tcW w:w="9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Indirect</w:t>
            </w: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gridSpan w:val="4"/>
          </w:tcPr>
          <w:p>
            <w:pPr>
              <w:ind w:left="80"/>
              <w:spacing w:after="0"/>
              <w:rPr>
                <w:sz w:val="20"/>
                <w:szCs w:val="20"/>
                <w:color w:val="auto"/>
              </w:rPr>
            </w:pPr>
            <w:r>
              <w:rPr>
                <w:rFonts w:ascii="Arial" w:cs="Arial" w:eastAsia="Arial" w:hAnsi="Arial"/>
                <w:sz w:val="14"/>
                <w:szCs w:val="14"/>
                <w:b w:val="1"/>
                <w:bCs w:val="1"/>
                <w:color w:val="auto"/>
              </w:rPr>
              <w:t>Date</w:t>
            </w:r>
          </w:p>
        </w:tc>
        <w:tc>
          <w:tcPr>
            <w:tcW w:w="19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20" w:type="dxa"/>
            <w:vAlign w:val="bottom"/>
          </w:tcPr>
          <w:p>
            <w:pPr>
              <w:ind w:left="20"/>
              <w:spacing w:after="0"/>
              <w:rPr>
                <w:sz w:val="20"/>
                <w:szCs w:val="20"/>
                <w:color w:val="auto"/>
              </w:rPr>
            </w:pPr>
            <w:r>
              <w:rPr>
                <w:rFonts w:ascii="Arial" w:cs="Arial" w:eastAsia="Arial" w:hAnsi="Arial"/>
                <w:sz w:val="14"/>
                <w:szCs w:val="14"/>
                <w:b w:val="1"/>
                <w:bCs w:val="1"/>
                <w:color w:val="auto"/>
              </w:rPr>
              <w:t>of Shares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Security</w:t>
            </w:r>
          </w:p>
        </w:tc>
        <w:tc>
          <w:tcPr>
            <w:tcW w:w="960" w:type="dxa"/>
            <w:vAlign w:val="bottom"/>
          </w:tcPr>
          <w:p>
            <w:pPr>
              <w:ind w:left="80"/>
              <w:spacing w:after="0"/>
              <w:rPr>
                <w:sz w:val="20"/>
                <w:szCs w:val="20"/>
                <w:color w:val="auto"/>
              </w:rPr>
            </w:pPr>
            <w:r>
              <w:rPr>
                <w:rFonts w:ascii="Arial" w:cs="Arial" w:eastAsia="Arial" w:hAnsi="Arial"/>
                <w:sz w:val="14"/>
                <w:szCs w:val="14"/>
                <w:b w:val="1"/>
                <w:bCs w:val="1"/>
                <w:color w:val="auto"/>
              </w:rPr>
              <w:t>(I) (Instr. 5)</w:t>
            </w:r>
          </w:p>
        </w:tc>
        <w:tc>
          <w:tcPr>
            <w:tcW w:w="1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90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Post-Merger Repay Units</w:t>
            </w:r>
          </w:p>
        </w:tc>
        <w:tc>
          <w:tcPr>
            <w:tcW w:w="1020" w:type="dxa"/>
            <w:vAlign w:val="bottom"/>
            <w:tcBorders>
              <w:bottom w:val="single" w:sz="8" w:color="2C2C2C"/>
            </w:tcBorders>
            <w:gridSpan w:val="2"/>
          </w:tcPr>
          <w:p>
            <w:pPr>
              <w:ind w:left="380"/>
              <w:spacing w:after="0"/>
              <w:rPr>
                <w:sz w:val="20"/>
                <w:szCs w:val="20"/>
                <w:color w:val="auto"/>
              </w:rPr>
            </w:pPr>
            <w:r>
              <w:rPr>
                <w:rFonts w:ascii="Arial" w:cs="Arial" w:eastAsia="Arial" w:hAnsi="Arial"/>
                <w:sz w:val="11"/>
                <w:szCs w:val="11"/>
                <w:color w:val="008000"/>
              </w:rPr>
              <w:t>(3)(4)(5)</w:t>
            </w:r>
          </w:p>
        </w:tc>
        <w:tc>
          <w:tcPr>
            <w:tcW w:w="520" w:type="dxa"/>
            <w:vAlign w:val="bottom"/>
            <w:tcBorders>
              <w:bottom w:val="single" w:sz="8" w:color="2C2C2C"/>
            </w:tcBorders>
          </w:tcPr>
          <w:p>
            <w:pPr>
              <w:jc w:val="right"/>
              <w:spacing w:after="0"/>
              <w:rPr>
                <w:sz w:val="20"/>
                <w:szCs w:val="20"/>
                <w:color w:val="auto"/>
              </w:rPr>
            </w:pPr>
            <w:r>
              <w:rPr>
                <w:rFonts w:ascii="Arial" w:cs="Arial" w:eastAsia="Arial" w:hAnsi="Arial"/>
                <w:sz w:val="11"/>
                <w:szCs w:val="11"/>
                <w:color w:val="008000"/>
              </w:rPr>
              <w:t>(4)</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4"/>
              </w:rPr>
              <w:t>Class A Common Stock</w:t>
            </w:r>
          </w:p>
        </w:tc>
        <w:tc>
          <w:tcPr>
            <w:tcW w:w="1420" w:type="dxa"/>
            <w:vAlign w:val="bottom"/>
            <w:tcBorders>
              <w:bottom w:val="single" w:sz="8" w:color="2C2C2C"/>
            </w:tcBorders>
          </w:tcPr>
          <w:p>
            <w:pPr>
              <w:ind w:left="40"/>
              <w:spacing w:after="0" w:line="324" w:lineRule="exact"/>
              <w:rPr>
                <w:sz w:val="20"/>
                <w:szCs w:val="20"/>
                <w:color w:val="auto"/>
              </w:rPr>
            </w:pPr>
            <w:r>
              <w:rPr>
                <w:rFonts w:ascii="Arial" w:cs="Arial" w:eastAsia="Arial" w:hAnsi="Arial"/>
                <w:sz w:val="35"/>
                <w:szCs w:val="35"/>
                <w:color w:val="0000FF"/>
                <w:w w:val="79"/>
                <w:vertAlign w:val="subscript"/>
              </w:rPr>
              <w:t>19,564,816</w:t>
            </w:r>
            <w:r>
              <w:rPr>
                <w:rFonts w:ascii="Arial" w:cs="Arial" w:eastAsia="Arial" w:hAnsi="Arial"/>
                <w:sz w:val="11"/>
                <w:szCs w:val="11"/>
                <w:color w:val="008000"/>
                <w:w w:val="79"/>
              </w:rPr>
              <w:t>(2)(3)(5)(9)</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(4)</w:t>
            </w:r>
          </w:p>
        </w:tc>
        <w:tc>
          <w:tcPr>
            <w:tcW w:w="9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52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w w:val="87"/>
              </w:rPr>
              <w:t>See Footnotes</w:t>
            </w:r>
            <w:r>
              <w:rPr>
                <w:rFonts w:ascii="Arial" w:cs="Arial" w:eastAsia="Arial" w:hAnsi="Arial"/>
                <w:sz w:val="22"/>
                <w:szCs w:val="22"/>
                <w:color w:val="008000"/>
                <w:w w:val="87"/>
                <w:vertAlign w:val="superscript"/>
              </w:rPr>
              <w:t>(6)(7)(8)</w:t>
            </w: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90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gridSpan w:val="3"/>
          </w:tcPr>
          <w:p>
            <w:pPr>
              <w:spacing w:after="0" w:line="224" w:lineRule="exact"/>
              <w:rPr>
                <w:rFonts w:ascii="Arial" w:cs="Arial" w:eastAsia="Arial" w:hAnsi="Arial"/>
                <w:sz w:val="22"/>
                <w:szCs w:val="22"/>
                <w:color w:val="0000EE"/>
              </w:rPr>
            </w:pPr>
            <w:hyperlink r:id="rId11">
              <w:r>
                <w:rPr>
                  <w:rFonts w:ascii="Arial" w:cs="Arial" w:eastAsia="Arial" w:hAnsi="Arial"/>
                  <w:sz w:val="22"/>
                  <w:szCs w:val="22"/>
                  <w:color w:val="0000EE"/>
                </w:rPr>
                <w:t>Corsair Capital LLC</w:t>
              </w:r>
            </w:hyperlink>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020" w:type="dxa"/>
            <w:vAlign w:val="bottom"/>
            <w:gridSpan w:val="2"/>
          </w:tcPr>
          <w:p>
            <w:pPr>
              <w:ind w:left="120"/>
              <w:spacing w:after="0"/>
              <w:rPr>
                <w:sz w:val="20"/>
                <w:szCs w:val="20"/>
                <w:color w:val="auto"/>
              </w:rPr>
            </w:pPr>
            <w:r>
              <w:rPr>
                <w:rFonts w:ascii="Arial" w:cs="Arial" w:eastAsia="Arial" w:hAnsi="Arial"/>
                <w:sz w:val="14"/>
                <w:szCs w:val="14"/>
                <w:color w:val="auto"/>
              </w:rPr>
              <w:t>(Middle)</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3"/>
          </w:tcPr>
          <w:p>
            <w:pPr>
              <w:spacing w:after="0"/>
              <w:rPr>
                <w:sz w:val="20"/>
                <w:szCs w:val="20"/>
                <w:color w:val="auto"/>
              </w:rPr>
            </w:pPr>
            <w:r>
              <w:rPr>
                <w:rFonts w:ascii="Arial" w:cs="Arial" w:eastAsia="Arial" w:hAnsi="Arial"/>
                <w:sz w:val="18"/>
                <w:szCs w:val="18"/>
                <w:color w:val="0000FF"/>
                <w:w w:val="97"/>
              </w:rPr>
              <w:t>717 FIFTH AVENUE, 24TH FLOOR</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600" w:type="dxa"/>
            <w:vAlign w:val="bottom"/>
            <w:gridSpan w:val="2"/>
          </w:tcPr>
          <w:p>
            <w:pPr>
              <w:ind w:left="260"/>
              <w:spacing w:after="0"/>
              <w:rPr>
                <w:sz w:val="20"/>
                <w:szCs w:val="20"/>
                <w:color w:val="auto"/>
              </w:rPr>
            </w:pPr>
            <w:r>
              <w:rPr>
                <w:rFonts w:ascii="Arial" w:cs="Arial" w:eastAsia="Arial" w:hAnsi="Arial"/>
                <w:sz w:val="18"/>
                <w:szCs w:val="18"/>
                <w:color w:val="0000FF"/>
              </w:rPr>
              <w:t>NY</w:t>
            </w:r>
          </w:p>
        </w:tc>
        <w:tc>
          <w:tcPr>
            <w:tcW w:w="1020" w:type="dxa"/>
            <w:vAlign w:val="bottom"/>
            <w:gridSpan w:val="2"/>
          </w:tcPr>
          <w:p>
            <w:pPr>
              <w:ind w:left="120"/>
              <w:spacing w:after="0"/>
              <w:rPr>
                <w:sz w:val="20"/>
                <w:szCs w:val="20"/>
                <w:color w:val="auto"/>
              </w:rPr>
            </w:pPr>
            <w:r>
              <w:rPr>
                <w:rFonts w:ascii="Arial" w:cs="Arial" w:eastAsia="Arial" w:hAnsi="Arial"/>
                <w:sz w:val="18"/>
                <w:szCs w:val="18"/>
                <w:color w:val="0000FF"/>
              </w:rPr>
              <w:t>10022</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gridSpan w:val="2"/>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020" w:type="dxa"/>
            <w:vAlign w:val="bottom"/>
            <w:gridSpan w:val="2"/>
          </w:tcPr>
          <w:p>
            <w:pPr>
              <w:ind w:left="120"/>
              <w:spacing w:after="0"/>
              <w:rPr>
                <w:sz w:val="20"/>
                <w:szCs w:val="20"/>
                <w:color w:val="auto"/>
              </w:rPr>
            </w:pPr>
            <w:r>
              <w:rPr>
                <w:rFonts w:ascii="Arial" w:cs="Arial" w:eastAsia="Arial" w:hAnsi="Arial"/>
                <w:sz w:val="14"/>
                <w:szCs w:val="14"/>
                <w:color w:val="auto"/>
              </w:rPr>
              <w:t>(Zip)</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4"/>
          <w:szCs w:val="24"/>
          <w:color w:val="auto"/>
        </w:rPr>
      </w:pPr>
    </w:p>
    <w:p>
      <w:pPr>
        <w:ind w:left="240" w:hanging="151"/>
        <w:spacing w:after="0"/>
        <w:tabs>
          <w:tab w:leader="none" w:pos="240" w:val="left"/>
        </w:tabs>
        <w:numPr>
          <w:ilvl w:val="0"/>
          <w:numId w:val="1"/>
        </w:numPr>
        <w:rPr>
          <w:rFonts w:ascii="Arial" w:cs="Arial" w:eastAsia="Arial" w:hAnsi="Arial"/>
          <w:sz w:val="14"/>
          <w:szCs w:val="14"/>
          <w:color w:val="auto"/>
        </w:rPr>
      </w:pPr>
      <w:r>
        <w:rPr>
          <w:rFonts w:ascii="Arial" w:cs="Arial" w:eastAsia="Arial" w:hAnsi="Arial"/>
          <w:sz w:val="14"/>
          <w:szCs w:val="14"/>
          <w:color w:val="auto"/>
        </w:rPr>
        <w:t>Name and Address of Reporting Person</w:t>
      </w:r>
      <w:r>
        <w:rPr>
          <w:rFonts w:ascii="Arial" w:cs="Arial" w:eastAsia="Arial" w:hAnsi="Arial"/>
          <w:sz w:val="22"/>
          <w:szCs w:val="22"/>
          <w:color w:val="auto"/>
          <w:vertAlign w:val="superscript"/>
        </w:rPr>
        <w:t>*</w:t>
      </w:r>
    </w:p>
    <w:p>
      <w:pPr>
        <w:ind w:left="480" w:hanging="350"/>
        <w:spacing w:after="0"/>
        <w:tabs>
          <w:tab w:leader="none" w:pos="480" w:val="left"/>
        </w:tabs>
        <w:numPr>
          <w:ilvl w:val="1"/>
          <w:numId w:val="1"/>
        </w:numPr>
        <w:rPr>
          <w:rFonts w:ascii="Arial" w:cs="Arial" w:eastAsia="Arial" w:hAnsi="Arial"/>
          <w:sz w:val="22"/>
          <w:szCs w:val="22"/>
          <w:u w:val="single" w:color="auto"/>
          <w:color w:val="0000EE"/>
        </w:rPr>
      </w:pPr>
      <w:hyperlink r:id="rId13">
        <w:r>
          <w:rPr>
            <w:rFonts w:ascii="Arial" w:cs="Arial" w:eastAsia="Arial" w:hAnsi="Arial"/>
            <w:sz w:val="22"/>
            <w:szCs w:val="22"/>
            <w:u w:val="single" w:color="auto"/>
            <w:color w:val="0000EE"/>
          </w:rPr>
          <w:t>Payment Holdings, L.L.C.</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40" w:type="dxa"/>
            <w:vAlign w:val="bottom"/>
          </w:tcPr>
          <w:p>
            <w:pPr>
              <w:spacing w:after="0"/>
              <w:rPr>
                <w:sz w:val="20"/>
                <w:szCs w:val="20"/>
                <w:color w:val="auto"/>
              </w:rPr>
            </w:pPr>
            <w:r>
              <w:rPr>
                <w:rFonts w:ascii="Arial" w:cs="Arial" w:eastAsia="Arial" w:hAnsi="Arial"/>
                <w:sz w:val="14"/>
                <w:szCs w:val="14"/>
                <w:color w:val="auto"/>
              </w:rPr>
              <w:t>(Last)</w:t>
            </w:r>
          </w:p>
        </w:tc>
        <w:tc>
          <w:tcPr>
            <w:tcW w:w="1560" w:type="dxa"/>
            <w:vAlign w:val="bottom"/>
          </w:tcPr>
          <w:p>
            <w:pPr>
              <w:ind w:left="220"/>
              <w:spacing w:after="0"/>
              <w:rPr>
                <w:sz w:val="20"/>
                <w:szCs w:val="20"/>
                <w:color w:val="auto"/>
              </w:rPr>
            </w:pPr>
            <w:r>
              <w:rPr>
                <w:rFonts w:ascii="Arial" w:cs="Arial" w:eastAsia="Arial" w:hAnsi="Arial"/>
                <w:sz w:val="14"/>
                <w:szCs w:val="14"/>
                <w:color w:val="auto"/>
              </w:rPr>
              <w:t>(First)</w:t>
            </w:r>
          </w:p>
        </w:tc>
        <w:tc>
          <w:tcPr>
            <w:tcW w:w="1540" w:type="dxa"/>
            <w:vAlign w:val="bottom"/>
          </w:tcPr>
          <w:p>
            <w:pPr>
              <w:ind w:left="1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0000FF"/>
              </w:rPr>
              <w:t>C/O CORSAIR CAPITAL</w:t>
            </w:r>
          </w:p>
        </w:tc>
        <w:tc>
          <w:tcPr>
            <w:tcW w:w="15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0000FF"/>
                <w:w w:val="97"/>
              </w:rPr>
              <w:t>717 FIFTH AVENUE, 24TH FLOOR</w:t>
            </w:r>
          </w:p>
        </w:tc>
        <w:tc>
          <w:tcPr>
            <w:tcW w:w="154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r>
      <w:tr>
        <w:trPr>
          <w:trHeight w:val="270"/>
        </w:trPr>
        <w:tc>
          <w:tcPr>
            <w:tcW w:w="12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56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40" w:type="dxa"/>
            <w:vAlign w:val="bottom"/>
          </w:tcPr>
          <w:p>
            <w:pPr>
              <w:spacing w:after="0"/>
              <w:rPr>
                <w:sz w:val="20"/>
                <w:szCs w:val="20"/>
                <w:color w:val="auto"/>
              </w:rPr>
            </w:pPr>
            <w:r>
              <w:rPr>
                <w:rFonts w:ascii="Arial" w:cs="Arial" w:eastAsia="Arial" w:hAnsi="Arial"/>
                <w:sz w:val="18"/>
                <w:szCs w:val="18"/>
                <w:color w:val="0000FF"/>
              </w:rPr>
              <w:t>NEW YORK,</w:t>
            </w:r>
          </w:p>
        </w:tc>
        <w:tc>
          <w:tcPr>
            <w:tcW w:w="1560" w:type="dxa"/>
            <w:vAlign w:val="bottom"/>
          </w:tcPr>
          <w:p>
            <w:pPr>
              <w:ind w:left="220"/>
              <w:spacing w:after="0"/>
              <w:rPr>
                <w:sz w:val="20"/>
                <w:szCs w:val="20"/>
                <w:color w:val="auto"/>
              </w:rPr>
            </w:pPr>
            <w:r>
              <w:rPr>
                <w:rFonts w:ascii="Arial" w:cs="Arial" w:eastAsia="Arial" w:hAnsi="Arial"/>
                <w:sz w:val="18"/>
                <w:szCs w:val="18"/>
                <w:color w:val="0000FF"/>
              </w:rPr>
              <w:t>NY</w:t>
            </w:r>
          </w:p>
        </w:tc>
        <w:tc>
          <w:tcPr>
            <w:tcW w:w="1540" w:type="dxa"/>
            <w:vAlign w:val="bottom"/>
          </w:tcPr>
          <w:p>
            <w:pPr>
              <w:ind w:left="1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4"/>
                <w:szCs w:val="14"/>
                <w:color w:val="auto"/>
              </w:rPr>
              <w:t>(City)</w:t>
            </w:r>
          </w:p>
        </w:tc>
        <w:tc>
          <w:tcPr>
            <w:tcW w:w="1560" w:type="dxa"/>
            <w:vAlign w:val="bottom"/>
          </w:tcPr>
          <w:p>
            <w:pPr>
              <w:ind w:left="220"/>
              <w:spacing w:after="0"/>
              <w:rPr>
                <w:sz w:val="20"/>
                <w:szCs w:val="20"/>
                <w:color w:val="auto"/>
              </w:rPr>
            </w:pPr>
            <w:r>
              <w:rPr>
                <w:rFonts w:ascii="Arial" w:cs="Arial" w:eastAsia="Arial" w:hAnsi="Arial"/>
                <w:sz w:val="14"/>
                <w:szCs w:val="14"/>
                <w:color w:val="auto"/>
              </w:rPr>
              <w:t>(State)</w:t>
            </w:r>
          </w:p>
        </w:tc>
        <w:tc>
          <w:tcPr>
            <w:tcW w:w="1540" w:type="dxa"/>
            <w:vAlign w:val="bottom"/>
          </w:tcPr>
          <w:p>
            <w:pPr>
              <w:ind w:left="120"/>
              <w:spacing w:after="0"/>
              <w:rPr>
                <w:sz w:val="20"/>
                <w:szCs w:val="20"/>
                <w:color w:val="auto"/>
              </w:rPr>
            </w:pPr>
            <w:r>
              <w:rPr>
                <w:rFonts w:ascii="Arial" w:cs="Arial" w:eastAsia="Arial" w:hAnsi="Arial"/>
                <w:sz w:val="14"/>
                <w:szCs w:val="14"/>
                <w:color w:val="auto"/>
              </w:rPr>
              <w:t>(Zip)</w:t>
            </w:r>
          </w:p>
        </w:tc>
      </w:tr>
    </w:tbl>
    <w:p>
      <w:pPr>
        <w:spacing w:after="0" w:line="136"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4">
        <w:r>
          <w:rPr>
            <w:rFonts w:ascii="Arial" w:cs="Arial" w:eastAsia="Arial" w:hAnsi="Arial"/>
            <w:sz w:val="22"/>
            <w:szCs w:val="22"/>
            <w:u w:val="single" w:color="auto"/>
            <w:color w:val="0000EE"/>
          </w:rPr>
          <w:t>Corsair IV Payment Holdings Partners, L.P.</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40" w:type="dxa"/>
            <w:vAlign w:val="bottom"/>
          </w:tcPr>
          <w:p>
            <w:pPr>
              <w:spacing w:after="0"/>
              <w:rPr>
                <w:sz w:val="20"/>
                <w:szCs w:val="20"/>
                <w:color w:val="auto"/>
              </w:rPr>
            </w:pPr>
            <w:r>
              <w:rPr>
                <w:rFonts w:ascii="Arial" w:cs="Arial" w:eastAsia="Arial" w:hAnsi="Arial"/>
                <w:sz w:val="14"/>
                <w:szCs w:val="14"/>
                <w:color w:val="auto"/>
              </w:rPr>
              <w:t>(Last)</w:t>
            </w:r>
          </w:p>
        </w:tc>
        <w:tc>
          <w:tcPr>
            <w:tcW w:w="1560" w:type="dxa"/>
            <w:vAlign w:val="bottom"/>
          </w:tcPr>
          <w:p>
            <w:pPr>
              <w:ind w:left="220"/>
              <w:spacing w:after="0"/>
              <w:rPr>
                <w:sz w:val="20"/>
                <w:szCs w:val="20"/>
                <w:color w:val="auto"/>
              </w:rPr>
            </w:pPr>
            <w:r>
              <w:rPr>
                <w:rFonts w:ascii="Arial" w:cs="Arial" w:eastAsia="Arial" w:hAnsi="Arial"/>
                <w:sz w:val="14"/>
                <w:szCs w:val="14"/>
                <w:color w:val="auto"/>
              </w:rPr>
              <w:t>(First)</w:t>
            </w:r>
          </w:p>
        </w:tc>
        <w:tc>
          <w:tcPr>
            <w:tcW w:w="1540" w:type="dxa"/>
            <w:vAlign w:val="bottom"/>
          </w:tcPr>
          <w:p>
            <w:pPr>
              <w:ind w:left="1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0000FF"/>
              </w:rPr>
              <w:t>C/O CORSAIR CAPITAL</w:t>
            </w:r>
          </w:p>
        </w:tc>
        <w:tc>
          <w:tcPr>
            <w:tcW w:w="15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0000FF"/>
                <w:w w:val="97"/>
              </w:rPr>
              <w:t>717 FIFTH AVENUE, 24TH FLOOR</w:t>
            </w:r>
          </w:p>
        </w:tc>
        <w:tc>
          <w:tcPr>
            <w:tcW w:w="154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r>
      <w:tr>
        <w:trPr>
          <w:trHeight w:val="270"/>
        </w:trPr>
        <w:tc>
          <w:tcPr>
            <w:tcW w:w="12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56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40" w:type="dxa"/>
            <w:vAlign w:val="bottom"/>
          </w:tcPr>
          <w:p>
            <w:pPr>
              <w:spacing w:after="0"/>
              <w:rPr>
                <w:sz w:val="20"/>
                <w:szCs w:val="20"/>
                <w:color w:val="auto"/>
              </w:rPr>
            </w:pPr>
            <w:r>
              <w:rPr>
                <w:rFonts w:ascii="Arial" w:cs="Arial" w:eastAsia="Arial" w:hAnsi="Arial"/>
                <w:sz w:val="18"/>
                <w:szCs w:val="18"/>
                <w:color w:val="0000FF"/>
              </w:rPr>
              <w:t>NEW YORK,</w:t>
            </w:r>
          </w:p>
        </w:tc>
        <w:tc>
          <w:tcPr>
            <w:tcW w:w="1560" w:type="dxa"/>
            <w:vAlign w:val="bottom"/>
          </w:tcPr>
          <w:p>
            <w:pPr>
              <w:ind w:left="220"/>
              <w:spacing w:after="0"/>
              <w:rPr>
                <w:sz w:val="20"/>
                <w:szCs w:val="20"/>
                <w:color w:val="auto"/>
              </w:rPr>
            </w:pPr>
            <w:r>
              <w:rPr>
                <w:rFonts w:ascii="Arial" w:cs="Arial" w:eastAsia="Arial" w:hAnsi="Arial"/>
                <w:sz w:val="18"/>
                <w:szCs w:val="18"/>
                <w:color w:val="0000FF"/>
              </w:rPr>
              <w:t>NY</w:t>
            </w:r>
          </w:p>
        </w:tc>
        <w:tc>
          <w:tcPr>
            <w:tcW w:w="1540" w:type="dxa"/>
            <w:vAlign w:val="bottom"/>
          </w:tcPr>
          <w:p>
            <w:pPr>
              <w:ind w:left="120"/>
              <w:spacing w:after="0"/>
              <w:rPr>
                <w:sz w:val="20"/>
                <w:szCs w:val="20"/>
                <w:color w:val="auto"/>
              </w:rPr>
            </w:pPr>
            <w:r>
              <w:rPr>
                <w:rFonts w:ascii="Arial" w:cs="Arial" w:eastAsia="Arial" w:hAnsi="Arial"/>
                <w:sz w:val="18"/>
                <w:szCs w:val="18"/>
                <w:color w:val="0000FF"/>
              </w:rPr>
              <w:t>10022</w:t>
            </w:r>
          </w:p>
        </w:tc>
      </w:tr>
    </w:tbl>
    <w:p>
      <w:pPr>
        <w:spacing w:after="0" w:line="200" w:lineRule="exact"/>
        <w:rPr>
          <w:sz w:val="24"/>
          <w:szCs w:val="24"/>
          <w:color w:val="auto"/>
        </w:rPr>
      </w:pPr>
    </w:p>
    <w:p>
      <w:pPr>
        <w:sectPr>
          <w:pgSz w:w="11900" w:h="16838" w:orient="portrait"/>
          <w:cols w:equalWidth="0" w:num="1">
            <w:col w:w="11420"/>
          </w:cols>
          <w:pgMar w:left="240" w:top="226" w:right="239" w:bottom="0" w:gutter="0" w:footer="0" w:header="0"/>
          <w:type w:val="continuous"/>
        </w:sectPr>
      </w:pPr>
    </w:p>
    <w:p>
      <w:pPr>
        <w:spacing w:after="0" w:line="125" w:lineRule="exact"/>
        <w:rPr>
          <w:sz w:val="24"/>
          <w:szCs w:val="24"/>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line="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5415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2924175" cy="5415280"/>
                    </a:xfrm>
                    <a:prstGeom prst="rect">
                      <a:avLst/>
                    </a:prstGeom>
                    <a:noFill/>
                  </pic:spPr>
                </pic:pic>
              </a:graphicData>
            </a:graphic>
          </wp:anchor>
        </w:drawing>
      </w: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Corsair IV Management L.P.</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40" w:type="dxa"/>
            <w:vAlign w:val="bottom"/>
          </w:tcPr>
          <w:p>
            <w:pPr>
              <w:spacing w:after="0"/>
              <w:rPr>
                <w:sz w:val="20"/>
                <w:szCs w:val="20"/>
                <w:color w:val="auto"/>
              </w:rPr>
            </w:pPr>
            <w:r>
              <w:rPr>
                <w:rFonts w:ascii="Arial" w:cs="Arial" w:eastAsia="Arial" w:hAnsi="Arial"/>
                <w:sz w:val="14"/>
                <w:szCs w:val="14"/>
                <w:color w:val="auto"/>
              </w:rPr>
              <w:t>(Last)</w:t>
            </w:r>
          </w:p>
        </w:tc>
        <w:tc>
          <w:tcPr>
            <w:tcW w:w="1560" w:type="dxa"/>
            <w:vAlign w:val="bottom"/>
          </w:tcPr>
          <w:p>
            <w:pPr>
              <w:ind w:left="220"/>
              <w:spacing w:after="0"/>
              <w:rPr>
                <w:sz w:val="20"/>
                <w:szCs w:val="20"/>
                <w:color w:val="auto"/>
              </w:rPr>
            </w:pPr>
            <w:r>
              <w:rPr>
                <w:rFonts w:ascii="Arial" w:cs="Arial" w:eastAsia="Arial" w:hAnsi="Arial"/>
                <w:sz w:val="14"/>
                <w:szCs w:val="14"/>
                <w:color w:val="auto"/>
              </w:rPr>
              <w:t>(First)</w:t>
            </w:r>
          </w:p>
        </w:tc>
        <w:tc>
          <w:tcPr>
            <w:tcW w:w="1540" w:type="dxa"/>
            <w:vAlign w:val="bottom"/>
          </w:tcPr>
          <w:p>
            <w:pPr>
              <w:ind w:left="1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0000FF"/>
              </w:rPr>
              <w:t>C/O CORSAIR CAPITAL</w:t>
            </w:r>
          </w:p>
        </w:tc>
        <w:tc>
          <w:tcPr>
            <w:tcW w:w="15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0000FF"/>
                <w:w w:val="97"/>
              </w:rPr>
              <w:t>717 FIFTH AVENUE, 24TH FLOOR</w:t>
            </w:r>
          </w:p>
        </w:tc>
        <w:tc>
          <w:tcPr>
            <w:tcW w:w="154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r>
      <w:tr>
        <w:trPr>
          <w:trHeight w:val="270"/>
        </w:trPr>
        <w:tc>
          <w:tcPr>
            <w:tcW w:w="12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56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40" w:type="dxa"/>
            <w:vAlign w:val="bottom"/>
          </w:tcPr>
          <w:p>
            <w:pPr>
              <w:spacing w:after="0"/>
              <w:rPr>
                <w:sz w:val="20"/>
                <w:szCs w:val="20"/>
                <w:color w:val="auto"/>
              </w:rPr>
            </w:pPr>
            <w:r>
              <w:rPr>
                <w:rFonts w:ascii="Arial" w:cs="Arial" w:eastAsia="Arial" w:hAnsi="Arial"/>
                <w:sz w:val="18"/>
                <w:szCs w:val="18"/>
                <w:color w:val="0000FF"/>
              </w:rPr>
              <w:t>NEW YORK,</w:t>
            </w:r>
          </w:p>
        </w:tc>
        <w:tc>
          <w:tcPr>
            <w:tcW w:w="1560" w:type="dxa"/>
            <w:vAlign w:val="bottom"/>
          </w:tcPr>
          <w:p>
            <w:pPr>
              <w:ind w:left="220"/>
              <w:spacing w:after="0"/>
              <w:rPr>
                <w:sz w:val="20"/>
                <w:szCs w:val="20"/>
                <w:color w:val="auto"/>
              </w:rPr>
            </w:pPr>
            <w:r>
              <w:rPr>
                <w:rFonts w:ascii="Arial" w:cs="Arial" w:eastAsia="Arial" w:hAnsi="Arial"/>
                <w:sz w:val="18"/>
                <w:szCs w:val="18"/>
                <w:color w:val="0000FF"/>
              </w:rPr>
              <w:t>NY</w:t>
            </w:r>
          </w:p>
        </w:tc>
        <w:tc>
          <w:tcPr>
            <w:tcW w:w="1540" w:type="dxa"/>
            <w:vAlign w:val="bottom"/>
          </w:tcPr>
          <w:p>
            <w:pPr>
              <w:ind w:left="1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4"/>
                <w:szCs w:val="14"/>
                <w:color w:val="auto"/>
              </w:rPr>
              <w:t>(City)</w:t>
            </w:r>
          </w:p>
        </w:tc>
        <w:tc>
          <w:tcPr>
            <w:tcW w:w="1560" w:type="dxa"/>
            <w:vAlign w:val="bottom"/>
          </w:tcPr>
          <w:p>
            <w:pPr>
              <w:ind w:left="220"/>
              <w:spacing w:after="0"/>
              <w:rPr>
                <w:sz w:val="20"/>
                <w:szCs w:val="20"/>
                <w:color w:val="auto"/>
              </w:rPr>
            </w:pPr>
            <w:r>
              <w:rPr>
                <w:rFonts w:ascii="Arial" w:cs="Arial" w:eastAsia="Arial" w:hAnsi="Arial"/>
                <w:sz w:val="14"/>
                <w:szCs w:val="14"/>
                <w:color w:val="auto"/>
              </w:rPr>
              <w:t>(State)</w:t>
            </w:r>
          </w:p>
        </w:tc>
        <w:tc>
          <w:tcPr>
            <w:tcW w:w="1540" w:type="dxa"/>
            <w:vAlign w:val="bottom"/>
          </w:tcPr>
          <w:p>
            <w:pPr>
              <w:ind w:left="1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Corsair IV Management AIV, L.P.</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40" w:type="dxa"/>
            <w:vAlign w:val="bottom"/>
          </w:tcPr>
          <w:p>
            <w:pPr>
              <w:spacing w:after="0"/>
              <w:rPr>
                <w:sz w:val="20"/>
                <w:szCs w:val="20"/>
                <w:color w:val="auto"/>
              </w:rPr>
            </w:pPr>
            <w:r>
              <w:rPr>
                <w:rFonts w:ascii="Arial" w:cs="Arial" w:eastAsia="Arial" w:hAnsi="Arial"/>
                <w:sz w:val="14"/>
                <w:szCs w:val="14"/>
                <w:color w:val="auto"/>
              </w:rPr>
              <w:t>(Last)</w:t>
            </w:r>
          </w:p>
        </w:tc>
        <w:tc>
          <w:tcPr>
            <w:tcW w:w="1560" w:type="dxa"/>
            <w:vAlign w:val="bottom"/>
          </w:tcPr>
          <w:p>
            <w:pPr>
              <w:ind w:left="220"/>
              <w:spacing w:after="0"/>
              <w:rPr>
                <w:sz w:val="20"/>
                <w:szCs w:val="20"/>
                <w:color w:val="auto"/>
              </w:rPr>
            </w:pPr>
            <w:r>
              <w:rPr>
                <w:rFonts w:ascii="Arial" w:cs="Arial" w:eastAsia="Arial" w:hAnsi="Arial"/>
                <w:sz w:val="14"/>
                <w:szCs w:val="14"/>
                <w:color w:val="auto"/>
              </w:rPr>
              <w:t>(First)</w:t>
            </w:r>
          </w:p>
        </w:tc>
        <w:tc>
          <w:tcPr>
            <w:tcW w:w="1540" w:type="dxa"/>
            <w:vAlign w:val="bottom"/>
          </w:tcPr>
          <w:p>
            <w:pPr>
              <w:ind w:left="1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0000FF"/>
              </w:rPr>
              <w:t>C/O CORSAIR CAPITAL</w:t>
            </w:r>
          </w:p>
        </w:tc>
        <w:tc>
          <w:tcPr>
            <w:tcW w:w="15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0000FF"/>
                <w:w w:val="97"/>
              </w:rPr>
              <w:t>717 FIFTH AVENUE, 24TH FLOOR</w:t>
            </w:r>
          </w:p>
        </w:tc>
        <w:tc>
          <w:tcPr>
            <w:tcW w:w="154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r>
      <w:tr>
        <w:trPr>
          <w:trHeight w:val="270"/>
        </w:trPr>
        <w:tc>
          <w:tcPr>
            <w:tcW w:w="12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56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40" w:type="dxa"/>
            <w:vAlign w:val="bottom"/>
          </w:tcPr>
          <w:p>
            <w:pPr>
              <w:spacing w:after="0"/>
              <w:rPr>
                <w:sz w:val="20"/>
                <w:szCs w:val="20"/>
                <w:color w:val="auto"/>
              </w:rPr>
            </w:pPr>
            <w:r>
              <w:rPr>
                <w:rFonts w:ascii="Arial" w:cs="Arial" w:eastAsia="Arial" w:hAnsi="Arial"/>
                <w:sz w:val="18"/>
                <w:szCs w:val="18"/>
                <w:color w:val="0000FF"/>
              </w:rPr>
              <w:t>NEW YORK,</w:t>
            </w:r>
          </w:p>
        </w:tc>
        <w:tc>
          <w:tcPr>
            <w:tcW w:w="1560" w:type="dxa"/>
            <w:vAlign w:val="bottom"/>
          </w:tcPr>
          <w:p>
            <w:pPr>
              <w:ind w:left="220"/>
              <w:spacing w:after="0"/>
              <w:rPr>
                <w:sz w:val="20"/>
                <w:szCs w:val="20"/>
                <w:color w:val="auto"/>
              </w:rPr>
            </w:pPr>
            <w:r>
              <w:rPr>
                <w:rFonts w:ascii="Arial" w:cs="Arial" w:eastAsia="Arial" w:hAnsi="Arial"/>
                <w:sz w:val="18"/>
                <w:szCs w:val="18"/>
                <w:color w:val="0000FF"/>
              </w:rPr>
              <w:t>NY</w:t>
            </w:r>
          </w:p>
        </w:tc>
        <w:tc>
          <w:tcPr>
            <w:tcW w:w="1540" w:type="dxa"/>
            <w:vAlign w:val="bottom"/>
          </w:tcPr>
          <w:p>
            <w:pPr>
              <w:ind w:left="1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4"/>
                <w:szCs w:val="14"/>
                <w:color w:val="auto"/>
              </w:rPr>
              <w:t>(City)</w:t>
            </w:r>
          </w:p>
        </w:tc>
        <w:tc>
          <w:tcPr>
            <w:tcW w:w="1560" w:type="dxa"/>
            <w:vAlign w:val="bottom"/>
          </w:tcPr>
          <w:p>
            <w:pPr>
              <w:ind w:left="220"/>
              <w:spacing w:after="0"/>
              <w:rPr>
                <w:sz w:val="20"/>
                <w:szCs w:val="20"/>
                <w:color w:val="auto"/>
              </w:rPr>
            </w:pPr>
            <w:r>
              <w:rPr>
                <w:rFonts w:ascii="Arial" w:cs="Arial" w:eastAsia="Arial" w:hAnsi="Arial"/>
                <w:sz w:val="14"/>
                <w:szCs w:val="14"/>
                <w:color w:val="auto"/>
              </w:rPr>
              <w:t>(State)</w:t>
            </w:r>
          </w:p>
        </w:tc>
        <w:tc>
          <w:tcPr>
            <w:tcW w:w="1540" w:type="dxa"/>
            <w:vAlign w:val="bottom"/>
          </w:tcPr>
          <w:p>
            <w:pPr>
              <w:ind w:left="1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2"/>
          <w:szCs w:val="22"/>
          <w:u w:val="single" w:color="auto"/>
          <w:color w:val="0000EE"/>
        </w:rPr>
      </w:pPr>
      <w:hyperlink r:id="rId18">
        <w:r>
          <w:rPr>
            <w:rFonts w:ascii="Arial" w:cs="Arial" w:eastAsia="Arial" w:hAnsi="Arial"/>
            <w:sz w:val="22"/>
            <w:szCs w:val="22"/>
            <w:u w:val="single" w:color="auto"/>
            <w:color w:val="0000EE"/>
          </w:rPr>
          <w:t>Corsair IV Payment Holdings Investors, L.P.</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40" w:type="dxa"/>
            <w:vAlign w:val="bottom"/>
          </w:tcPr>
          <w:p>
            <w:pPr>
              <w:spacing w:after="0"/>
              <w:rPr>
                <w:sz w:val="20"/>
                <w:szCs w:val="20"/>
                <w:color w:val="auto"/>
              </w:rPr>
            </w:pPr>
            <w:r>
              <w:rPr>
                <w:rFonts w:ascii="Arial" w:cs="Arial" w:eastAsia="Arial" w:hAnsi="Arial"/>
                <w:sz w:val="14"/>
                <w:szCs w:val="14"/>
                <w:color w:val="auto"/>
              </w:rPr>
              <w:t>(Last)</w:t>
            </w:r>
          </w:p>
        </w:tc>
        <w:tc>
          <w:tcPr>
            <w:tcW w:w="1560" w:type="dxa"/>
            <w:vAlign w:val="bottom"/>
          </w:tcPr>
          <w:p>
            <w:pPr>
              <w:ind w:left="220"/>
              <w:spacing w:after="0"/>
              <w:rPr>
                <w:sz w:val="20"/>
                <w:szCs w:val="20"/>
                <w:color w:val="auto"/>
              </w:rPr>
            </w:pPr>
            <w:r>
              <w:rPr>
                <w:rFonts w:ascii="Arial" w:cs="Arial" w:eastAsia="Arial" w:hAnsi="Arial"/>
                <w:sz w:val="14"/>
                <w:szCs w:val="14"/>
                <w:color w:val="auto"/>
              </w:rPr>
              <w:t>(First)</w:t>
            </w:r>
          </w:p>
        </w:tc>
        <w:tc>
          <w:tcPr>
            <w:tcW w:w="1540" w:type="dxa"/>
            <w:vAlign w:val="bottom"/>
          </w:tcPr>
          <w:p>
            <w:pPr>
              <w:ind w:left="1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0000FF"/>
              </w:rPr>
              <w:t>C/O CORSAIR CAPITAL</w:t>
            </w:r>
          </w:p>
        </w:tc>
        <w:tc>
          <w:tcPr>
            <w:tcW w:w="15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0000FF"/>
                <w:w w:val="97"/>
              </w:rPr>
              <w:t>717 FIFTH AVENUE, 24TH FLOOR</w:t>
            </w:r>
          </w:p>
        </w:tc>
        <w:tc>
          <w:tcPr>
            <w:tcW w:w="154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r>
      <w:tr>
        <w:trPr>
          <w:trHeight w:val="270"/>
        </w:trPr>
        <w:tc>
          <w:tcPr>
            <w:tcW w:w="12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56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40" w:type="dxa"/>
            <w:vAlign w:val="bottom"/>
          </w:tcPr>
          <w:p>
            <w:pPr>
              <w:spacing w:after="0"/>
              <w:rPr>
                <w:sz w:val="20"/>
                <w:szCs w:val="20"/>
                <w:color w:val="auto"/>
              </w:rPr>
            </w:pPr>
            <w:r>
              <w:rPr>
                <w:rFonts w:ascii="Arial" w:cs="Arial" w:eastAsia="Arial" w:hAnsi="Arial"/>
                <w:sz w:val="18"/>
                <w:szCs w:val="18"/>
                <w:color w:val="0000FF"/>
              </w:rPr>
              <w:t>NEW YORK,</w:t>
            </w:r>
          </w:p>
        </w:tc>
        <w:tc>
          <w:tcPr>
            <w:tcW w:w="1560" w:type="dxa"/>
            <w:vAlign w:val="bottom"/>
          </w:tcPr>
          <w:p>
            <w:pPr>
              <w:ind w:left="220"/>
              <w:spacing w:after="0"/>
              <w:rPr>
                <w:sz w:val="20"/>
                <w:szCs w:val="20"/>
                <w:color w:val="auto"/>
              </w:rPr>
            </w:pPr>
            <w:r>
              <w:rPr>
                <w:rFonts w:ascii="Arial" w:cs="Arial" w:eastAsia="Arial" w:hAnsi="Arial"/>
                <w:sz w:val="18"/>
                <w:szCs w:val="18"/>
                <w:color w:val="0000FF"/>
              </w:rPr>
              <w:t>NY</w:t>
            </w:r>
          </w:p>
        </w:tc>
        <w:tc>
          <w:tcPr>
            <w:tcW w:w="1540" w:type="dxa"/>
            <w:vAlign w:val="bottom"/>
          </w:tcPr>
          <w:p>
            <w:pPr>
              <w:ind w:left="1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4"/>
                <w:szCs w:val="14"/>
                <w:color w:val="auto"/>
              </w:rPr>
              <w:t>(City)</w:t>
            </w:r>
          </w:p>
        </w:tc>
        <w:tc>
          <w:tcPr>
            <w:tcW w:w="1560" w:type="dxa"/>
            <w:vAlign w:val="bottom"/>
          </w:tcPr>
          <w:p>
            <w:pPr>
              <w:ind w:left="220"/>
              <w:spacing w:after="0"/>
              <w:rPr>
                <w:sz w:val="20"/>
                <w:szCs w:val="20"/>
                <w:color w:val="auto"/>
              </w:rPr>
            </w:pPr>
            <w:r>
              <w:rPr>
                <w:rFonts w:ascii="Arial" w:cs="Arial" w:eastAsia="Arial" w:hAnsi="Arial"/>
                <w:sz w:val="14"/>
                <w:szCs w:val="14"/>
                <w:color w:val="auto"/>
              </w:rPr>
              <w:t>(State)</w:t>
            </w:r>
          </w:p>
        </w:tc>
        <w:tc>
          <w:tcPr>
            <w:tcW w:w="1540" w:type="dxa"/>
            <w:vAlign w:val="bottom"/>
          </w:tcPr>
          <w:p>
            <w:pPr>
              <w:ind w:left="1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right="60" w:firstLine="9"/>
        <w:spacing w:after="0" w:line="288" w:lineRule="auto"/>
        <w:tabs>
          <w:tab w:leader="none" w:pos="13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of Class V common stock ("Class V Common Stock") of the Issuer (as defined below) provide no economic rights in the Issuer to the holder thereof. However, each holder of Class V Common Stock will be entitled to vote with the holders of Class A common stock ("Class A Common Stock") of the Issuer, with each share of Class V Common Stock entitling the holder to a number of votes equal to the number of Post-Merger Repay Units (as described below) held by such Class V Common Stock holder at the time of such vote.</w:t>
      </w:r>
    </w:p>
    <w:p>
      <w:pPr>
        <w:spacing w:after="0" w:line="2" w:lineRule="exact"/>
        <w:rPr>
          <w:rFonts w:ascii="Arial" w:cs="Arial" w:eastAsia="Arial" w:hAnsi="Arial"/>
          <w:sz w:val="12"/>
          <w:szCs w:val="12"/>
          <w:color w:val="008000"/>
        </w:rPr>
      </w:pPr>
    </w:p>
    <w:p>
      <w:pPr>
        <w:ind w:firstLine="9"/>
        <w:spacing w:after="0" w:line="273" w:lineRule="auto"/>
        <w:tabs>
          <w:tab w:leader="none" w:pos="13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securities were acquired pursuant to Second Amended and Restated Agreement and Plan of Merger, dated effective as of January 21, 2019, as amended from time to time (the "Merger Agreement"), by and among Thunder Bridge Acquisition, Ltd., TB Acquisition Merger Sub LLC ("Merger Sub"), Hawk Parent Holdings LLC ("Repay"), and other parties thereto, pursuant to which Merger Sub merged (the "Merger") with and into Repay with Repay continuing as the surviving entity and a subsidiary of Thunder Bridge Acquisition, Ltd. (which subsequently changed its name to Repay Holdings Corporation, the "Issuer"). Pursuant to the terms of the Merger Agreement, the owners of Repay prior to the closing of the Merger (the "Closing") received in the aggregate approximately $260.8 million in cash and, subject to certain post-Closing adjustments, 21,985,297 Post-Merger Repay Units for the Repay limited liability company interests held by them immediately prior to the Closing.</w:t>
      </w:r>
    </w:p>
    <w:p>
      <w:pPr>
        <w:spacing w:after="0" w:line="11" w:lineRule="exact"/>
        <w:rPr>
          <w:rFonts w:ascii="Arial" w:cs="Arial" w:eastAsia="Arial" w:hAnsi="Arial"/>
          <w:sz w:val="12"/>
          <w:szCs w:val="12"/>
          <w:color w:val="008000"/>
        </w:rPr>
      </w:pPr>
    </w:p>
    <w:p>
      <w:pPr>
        <w:ind w:right="280" w:firstLine="9"/>
        <w:spacing w:after="0" w:line="273" w:lineRule="auto"/>
        <w:tabs>
          <w:tab w:leader="none" w:pos="13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terms of the Merger Agreement also provide that additional Post-Merger Repay Units will be issued subject to earn out rights ("Earn Out Units") as discussed below. In the event that the volume-weighted average trading price of the Issuer's Class A Common Stock exceeds (i) $12.50 for twenty out of thirty consecutive trading days during the first twelve months following the Closing (the "$12.50 Condition"), 3,750,000 Post-Merger Repay Units will be issued to the pre-Closing owners of Repay and (ii) $14.00 for twenty out of thirty consecutive trading days during the first twenty-four months following the Closing (the "$14 Condition"), an additional 3,750,000 Post-Merger Repay Units will be issued to the pre-Closing owners of Repay. In addition, in connection with the Merger, each holder of Repay limited liability company interests prior to the Merger received one share of Class V Common Stock.</w:t>
      </w:r>
    </w:p>
    <w:p>
      <w:pPr>
        <w:spacing w:after="0" w:line="11" w:lineRule="exact"/>
        <w:rPr>
          <w:rFonts w:ascii="Arial" w:cs="Arial" w:eastAsia="Arial" w:hAnsi="Arial"/>
          <w:sz w:val="12"/>
          <w:szCs w:val="12"/>
          <w:color w:val="008000"/>
        </w:rPr>
      </w:pPr>
    </w:p>
    <w:p>
      <w:pPr>
        <w:ind w:firstLine="9"/>
        <w:spacing w:after="0" w:line="305" w:lineRule="auto"/>
        <w:tabs>
          <w:tab w:leader="none" w:pos="13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Post-Merger Repay Units represent non-voting limited liability company interests of Repay. Pursuant to the terms of an exchange agreement, beginning on the six-month anniversary of the closing date of the Merger, these units may be exchanged at the discretion of the holder for shares of Class A Common Stock on a one-for-one basis, or, at option of the Issuer, cash. These exchange rights do not expire.</w:t>
      </w:r>
    </w:p>
    <w:p>
      <w:pPr>
        <w:ind w:right="580" w:firstLine="9"/>
        <w:spacing w:after="0" w:line="239"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amount includes 4,599,230 Earn Out Units, 50% of which will be issued upon satisfaction of the $12.50 Condition, and the remaining 50% of which will be issued upon satisfaction of the $14 Condition.</w:t>
      </w:r>
    </w:p>
    <w:p>
      <w:pPr>
        <w:spacing w:after="0" w:line="30" w:lineRule="exact"/>
        <w:rPr>
          <w:rFonts w:ascii="Arial" w:cs="Arial" w:eastAsia="Arial" w:hAnsi="Arial"/>
          <w:sz w:val="14"/>
          <w:szCs w:val="14"/>
          <w:color w:val="008000"/>
        </w:rPr>
      </w:pPr>
    </w:p>
    <w:p>
      <w:pPr>
        <w:jc w:val="both"/>
        <w:ind w:right="60" w:firstLine="9"/>
        <w:spacing w:after="0" w:line="230"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securities are directly held by CC Payment Holdings LLC ("Payment Holdings LLC"). Corsair Capital LLC is the general partner of (a) Corsair IV Management AIV, L.P., which is the general partner of Corsair IV Payment Holdings Partners, L.P. (which holds all of the limited liability company interests of Payment Holdings LLC), and (b) Corsair IV Management L.P., which is (i) the managing member of Payment Holdings LLC, and (ii) the general partner of Corsair IV Payment Holdings Investors, L.P. (the majority limited partner of Corsair IV Payment Holdings Partners, L.P.) (collectively, the "Corsair Entities").</w:t>
      </w:r>
    </w:p>
    <w:p>
      <w:pPr>
        <w:spacing w:after="0" w:line="31" w:lineRule="exact"/>
        <w:rPr>
          <w:rFonts w:ascii="Arial" w:cs="Arial" w:eastAsia="Arial" w:hAnsi="Arial"/>
          <w:sz w:val="14"/>
          <w:szCs w:val="14"/>
          <w:color w:val="008000"/>
        </w:rPr>
      </w:pPr>
    </w:p>
    <w:p>
      <w:pPr>
        <w:ind w:right="80" w:firstLine="9"/>
        <w:spacing w:after="0" w:line="239"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of the Corsair Entities may be deemed to beneficially own the securities directly owned by Payment Holdings LLC, although each of the Corsair Entities (other than Payment Holdings LLC) disclaims beneficial ownership of such securities, except to the extent of their respective pecuniary interest therein.</w:t>
      </w:r>
    </w:p>
    <w:p>
      <w:pPr>
        <w:spacing w:after="0" w:line="30" w:lineRule="exact"/>
        <w:rPr>
          <w:rFonts w:ascii="Arial" w:cs="Arial" w:eastAsia="Arial" w:hAnsi="Arial"/>
          <w:sz w:val="14"/>
          <w:szCs w:val="14"/>
          <w:color w:val="008000"/>
        </w:rPr>
      </w:pPr>
    </w:p>
    <w:p>
      <w:pPr>
        <w:ind w:right="100" w:firstLine="9"/>
        <w:spacing w:after="0" w:line="239"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Pursuant to Rule 16a-1(a)(4) under the Securities Exchange Act of 1934, each of the Reporting Persons (other than Payment Holdings LLC) states that the inclusion of these securities in this report shall not be deemed an admission of beneficial ownership of all of the reported securities for purposes of Section 16 or for any other purpose.</w:t>
      </w:r>
    </w:p>
    <w:p>
      <w:pPr>
        <w:spacing w:after="0" w:line="30" w:lineRule="exact"/>
        <w:rPr>
          <w:rFonts w:ascii="Arial" w:cs="Arial" w:eastAsia="Arial" w:hAnsi="Arial"/>
          <w:sz w:val="14"/>
          <w:szCs w:val="14"/>
          <w:color w:val="008000"/>
        </w:rPr>
      </w:pPr>
    </w:p>
    <w:p>
      <w:pPr>
        <w:ind w:right="80" w:firstLine="9"/>
        <w:spacing w:after="0" w:line="233"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Form 3/A is being filed to amend and restate the original Form 4 filed by the Reporting Person with the Securities and Exchange Commission on July 22, 2019 to reflect post-Closing adjustments pursuant to the terms of the Merger Agreement. On October 1, 2019, certain Post-Merger Repay Merger Units held in escrow pending such post-Closing adjustments were released from escrow and distributed to Payment Holdings LLC.</w:t>
      </w:r>
    </w:p>
    <w:p>
      <w:pPr>
        <w:sectPr>
          <w:pgSz w:w="11900" w:h="16863" w:orient="portrait"/>
          <w:cols w:equalWidth="0" w:num="1">
            <w:col w:w="11340"/>
          </w:cols>
          <w:pgMar w:left="280" w:top="126" w:right="279" w:bottom="0" w:gutter="0" w:footer="0" w:header="0"/>
        </w:sectPr>
      </w:pPr>
    </w:p>
    <w:p>
      <w:pPr>
        <w:spacing w:after="0" w:line="60"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CORSAIR CAPITAL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388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extLst>
                    </a:blip>
                    <a:srcRect/>
                    <a:stretch>
                      <a:fillRect/>
                    </a:stretch>
                  </pic:blipFill>
                  <pic:spPr bwMode="auto">
                    <a:xfrm>
                      <a:off x="0" y="0"/>
                      <a:ext cx="12388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By: /s/ Ignacio Jayanti,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53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135318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Ignacio Jayanti,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709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97091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020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802005" cy="8890"/>
                    </a:xfrm>
                    <a:prstGeom prst="rect">
                      <a:avLst/>
                    </a:prstGeom>
                    <a:noFill/>
                  </pic:spPr>
                </pic:pic>
              </a:graphicData>
            </a:graphic>
          </wp:anchor>
        </w:drawing>
      </w:r>
    </w:p>
    <w:p>
      <w:pPr>
        <w:spacing w:after="0" w:line="37" w:lineRule="exact"/>
        <w:rPr>
          <w:sz w:val="20"/>
          <w:szCs w:val="20"/>
          <w:color w:val="auto"/>
        </w:rPr>
      </w:pPr>
    </w:p>
    <w:p>
      <w:pPr>
        <w:ind w:left="6820" w:firstLine="9"/>
        <w:spacing w:after="0" w:line="289" w:lineRule="auto"/>
        <w:tabs>
          <w:tab w:leader="none" w:pos="7098" w:val="left"/>
        </w:tabs>
        <w:numPr>
          <w:ilvl w:val="0"/>
          <w:numId w:val="3"/>
        </w:numPr>
        <w:rPr>
          <w:rFonts w:ascii="Arial" w:cs="Arial" w:eastAsia="Arial" w:hAnsi="Arial"/>
          <w:sz w:val="16"/>
          <w:szCs w:val="16"/>
          <w:color w:val="0000FF"/>
        </w:rPr>
      </w:pPr>
      <w:r>
        <w:rPr>
          <w:rFonts w:ascii="Arial" w:cs="Arial" w:eastAsia="Arial" w:hAnsi="Arial"/>
          <w:sz w:val="16"/>
          <w:szCs w:val="16"/>
          <w:color w:val="0000FF"/>
        </w:rPr>
        <w:t>PAYMENT HOLDINGS, L.L.C., By: Corsair IV Management L.P., its managing member, By: Corsair Capital LLC, its general partner, By: /s/ Ignacio Jayanti, Name: Ignacio Jayanti, Title: 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-1007745</wp:posOffset>
            </wp:positionV>
            <wp:extent cx="13201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320165" cy="8890"/>
                    </a:xfrm>
                    <a:prstGeom prst="rect">
                      <a:avLst/>
                    </a:prstGeom>
                    <a:noFill/>
                  </pic:spPr>
                </pic:pic>
              </a:graphicData>
            </a:graphic>
          </wp:anchor>
        </w:drawing>
        <w:drawing>
          <wp:anchor simplePos="0" relativeHeight="251657728" behindDoc="1" locked="0" layoutInCell="0" allowOverlap="1">
            <wp:simplePos x="0" y="0"/>
            <wp:positionH relativeFrom="column">
              <wp:posOffset>4336415</wp:posOffset>
            </wp:positionH>
            <wp:positionV relativeFrom="paragraph">
              <wp:posOffset>-870585</wp:posOffset>
            </wp:positionV>
            <wp:extent cx="10121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012190" cy="8890"/>
                    </a:xfrm>
                    <a:prstGeom prst="rect">
                      <a:avLst/>
                    </a:prstGeom>
                    <a:noFill/>
                  </pic:spPr>
                </pic:pic>
              </a:graphicData>
            </a:graphic>
          </wp:anchor>
        </w:drawing>
        <w:drawing>
          <wp:anchor simplePos="0" relativeHeight="251657728" behindDoc="1" locked="0" layoutInCell="0" allowOverlap="1">
            <wp:simplePos x="0" y="0"/>
            <wp:positionH relativeFrom="column">
              <wp:posOffset>4336415</wp:posOffset>
            </wp:positionH>
            <wp:positionV relativeFrom="paragraph">
              <wp:posOffset>-733425</wp:posOffset>
            </wp:positionV>
            <wp:extent cx="14116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411605" cy="8890"/>
                    </a:xfrm>
                    <a:prstGeom prst="rect">
                      <a:avLst/>
                    </a:prstGeom>
                    <a:noFill/>
                  </pic:spPr>
                </pic:pic>
              </a:graphicData>
            </a:graphic>
          </wp:anchor>
        </w:drawing>
        <w:drawing>
          <wp:anchor simplePos="0" relativeHeight="251657728" behindDoc="1" locked="0" layoutInCell="0" allowOverlap="1">
            <wp:simplePos x="0" y="0"/>
            <wp:positionH relativeFrom="column">
              <wp:posOffset>4336415</wp:posOffset>
            </wp:positionH>
            <wp:positionV relativeFrom="paragraph">
              <wp:posOffset>-596265</wp:posOffset>
            </wp:positionV>
            <wp:extent cx="12833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283335" cy="8890"/>
                    </a:xfrm>
                    <a:prstGeom prst="rect">
                      <a:avLst/>
                    </a:prstGeom>
                    <a:noFill/>
                  </pic:spPr>
                </pic:pic>
              </a:graphicData>
            </a:graphic>
          </wp:anchor>
        </w:drawing>
        <w:drawing>
          <wp:anchor simplePos="0" relativeHeight="251657728" behindDoc="1" locked="0" layoutInCell="0" allowOverlap="1">
            <wp:simplePos x="0" y="0"/>
            <wp:positionH relativeFrom="column">
              <wp:posOffset>4336415</wp:posOffset>
            </wp:positionH>
            <wp:positionV relativeFrom="paragraph">
              <wp:posOffset>-459105</wp:posOffset>
            </wp:positionV>
            <wp:extent cx="12833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283335" cy="8890"/>
                    </a:xfrm>
                    <a:prstGeom prst="rect">
                      <a:avLst/>
                    </a:prstGeom>
                    <a:noFill/>
                  </pic:spPr>
                </pic:pic>
              </a:graphicData>
            </a:graphic>
          </wp:anchor>
        </w:drawing>
        <w:drawing>
          <wp:anchor simplePos="0" relativeHeight="251657728" behindDoc="1" locked="0" layoutInCell="0" allowOverlap="1">
            <wp:simplePos x="0" y="0"/>
            <wp:positionH relativeFrom="column">
              <wp:posOffset>4336415</wp:posOffset>
            </wp:positionH>
            <wp:positionV relativeFrom="paragraph">
              <wp:posOffset>-321945</wp:posOffset>
            </wp:positionV>
            <wp:extent cx="11639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163955" cy="8890"/>
                    </a:xfrm>
                    <a:prstGeom prst="rect">
                      <a:avLst/>
                    </a:prstGeom>
                    <a:noFill/>
                  </pic:spPr>
                </pic:pic>
              </a:graphicData>
            </a:graphic>
          </wp:anchor>
        </w:drawing>
        <w:drawing>
          <wp:anchor simplePos="0" relativeHeight="251657728" behindDoc="1" locked="0" layoutInCell="0" allowOverlap="1">
            <wp:simplePos x="0" y="0"/>
            <wp:positionH relativeFrom="column">
              <wp:posOffset>4336415</wp:posOffset>
            </wp:positionH>
            <wp:positionV relativeFrom="paragraph">
              <wp:posOffset>-184785</wp:posOffset>
            </wp:positionV>
            <wp:extent cx="9709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970915" cy="8890"/>
                    </a:xfrm>
                    <a:prstGeom prst="rect">
                      <a:avLst/>
                    </a:prstGeom>
                    <a:noFill/>
                  </pic:spPr>
                </pic:pic>
              </a:graphicData>
            </a:graphic>
          </wp:anchor>
        </w:drawing>
        <w:drawing>
          <wp:anchor simplePos="0" relativeHeight="251657728" behindDoc="1" locked="0" layoutInCell="0" allowOverlap="1">
            <wp:simplePos x="0" y="0"/>
            <wp:positionH relativeFrom="column">
              <wp:posOffset>4336415</wp:posOffset>
            </wp:positionH>
            <wp:positionV relativeFrom="paragraph">
              <wp:posOffset>-47625</wp:posOffset>
            </wp:positionV>
            <wp:extent cx="8020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80200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CORSAIR IV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747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HOLDINGS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4077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4077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0000FF"/>
        </w:rPr>
        <w:t>10/04/2019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color w:val="0000FF"/>
        </w:rPr>
        <w:t>10/04/2019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color w:val="0000FF"/>
        </w:rPr>
        <w:t>10/04/2019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ectPr>
          <w:pgSz w:w="11900" w:h="16863" w:orient="portrait"/>
          <w:cols w:equalWidth="0" w:num="2">
            <w:col w:w="9060" w:space="60"/>
            <w:col w:w="2220"/>
          </w:cols>
          <w:pgMar w:left="280" w:top="126" w:right="279" w:bottom="0" w:gutter="0" w:footer="0" w:header="0"/>
          <w:type w:val="continuous"/>
        </w:sectPr>
      </w:pPr>
    </w:p>
    <w:bookmarkStart w:id="2" w:name="page3"/>
    <w:bookmarkEnd w:id="2"/>
    <w:p>
      <w:pPr>
        <w:ind w:left="6820"/>
        <w:spacing w:after="0"/>
        <w:rPr>
          <w:sz w:val="20"/>
          <w:szCs w:val="20"/>
          <w:color w:val="auto"/>
        </w:rPr>
      </w:pPr>
      <w:r>
        <w:rPr>
          <w:rFonts w:ascii="Arial" w:cs="Arial" w:eastAsia="Arial" w:hAnsi="Arial"/>
          <w:sz w:val="18"/>
          <w:szCs w:val="18"/>
          <w:color w:val="0000FF"/>
        </w:rPr>
        <w:t>By: Corsair IV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725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27254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AIV,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966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29667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By: Corsair Capital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661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26619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general partner, By: /s/ Ignacio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792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37922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Jayanti, Name: Ignacio Jayanti,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4020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402080" cy="8890"/>
                    </a:xfrm>
                    <a:prstGeom prst="rect">
                      <a:avLst/>
                    </a:prstGeom>
                    <a:noFill/>
                  </pic:spPr>
                </pic:pic>
              </a:graphicData>
            </a:graphic>
          </wp:anchor>
        </w:drawing>
      </w:r>
    </w:p>
    <w:p>
      <w:pPr>
        <w:spacing w:after="0" w:line="24"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Title: 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674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06743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CORSAIR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6286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MANAGEMENT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2301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22301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Corsair Capital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775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07759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general partner, By: /s/ Ignacio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792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37922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Jayanti, Name: Ignacio Jayanti,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4020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402080" cy="8890"/>
                    </a:xfrm>
                    <a:prstGeom prst="rect">
                      <a:avLst/>
                    </a:prstGeom>
                    <a:noFill/>
                  </pic:spPr>
                </pic:pic>
              </a:graphicData>
            </a:graphic>
          </wp:anchor>
        </w:drawing>
      </w:r>
    </w:p>
    <w:p>
      <w:pPr>
        <w:spacing w:after="0" w:line="24"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Title: 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674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06743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CORSAIR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6286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MANAGEMENT AIV,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7381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127381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By: Corsair Capital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661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26619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general partner, By: /s/ Ignacio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792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37922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Jayanti, Name: Ignacio Jayanti,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4020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402080" cy="8890"/>
                    </a:xfrm>
                    <a:prstGeom prst="rect">
                      <a:avLst/>
                    </a:prstGeom>
                    <a:noFill/>
                  </pic:spPr>
                </pic:pic>
              </a:graphicData>
            </a:graphic>
          </wp:anchor>
        </w:drawing>
      </w:r>
    </w:p>
    <w:p>
      <w:pPr>
        <w:spacing w:after="0" w:line="24"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Title: 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674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06743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CORSAIR IV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747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HOLDINGS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363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123634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L.P., By: Corsair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921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Management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004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130048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partner, By: Corsair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338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123380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833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128333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Ignacio Jayanti,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639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116395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Ignacio Jayanti,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709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97091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0200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8020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color w:val="0000FF"/>
        </w:rPr>
        <w:t>10/04/2019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color w:val="0000FF"/>
        </w:rPr>
        <w:t>10/04/2019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color w:val="0000FF"/>
        </w:rPr>
        <w:t>10/04/2019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969" w:lineRule="exact"/>
        <w:rPr>
          <w:sz w:val="20"/>
          <w:szCs w:val="20"/>
          <w:color w:val="auto"/>
        </w:rPr>
      </w:pPr>
    </w:p>
    <w:p>
      <w:pPr>
        <w:sectPr>
          <w:pgSz w:w="11900" w:h="16838" w:orient="portrait"/>
          <w:cols w:equalWidth="0" w:num="2">
            <w:col w:w="9040" w:space="80"/>
            <w:col w:w="1200"/>
          </w:cols>
          <w:pgMar w:left="280" w:top="131" w:right="1299" w:bottom="1440" w:gutter="0" w:footer="0" w:header="0"/>
        </w:sect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lvl w:ilvl="1">
      <w:lvlJc w:val="left"/>
      <w:lvlText w:val="%2"/>
      <w:numFmt w:val="upperLetter"/>
      <w:start w:val="29"/>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upperLetter"/>
      <w:start w:val="29"/>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5"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11" Type="http://schemas.openxmlformats.org/officeDocument/2006/relationships/hyperlink" Target="http://www.sec.gov/cgi-bin/browse-edgar?action=getcompany&amp;CIK=0001408853" TargetMode="External"/><Relationship Id="rId12" Type="http://schemas.openxmlformats.org/officeDocument/2006/relationships/hyperlink" Target="http://www.sec.gov/cgi-bin/browse-edgar?action=getcompany&amp;CIK=0001720592" TargetMode="External"/><Relationship Id="rId13" Type="http://schemas.openxmlformats.org/officeDocument/2006/relationships/hyperlink" Target="http://www.sec.gov/cgi-bin/browse-edgar?action=getcompany&amp;CIK=0001782000" TargetMode="External"/><Relationship Id="rId14" Type="http://schemas.openxmlformats.org/officeDocument/2006/relationships/hyperlink" Target="http://www.sec.gov/cgi-bin/browse-edgar?action=getcompany&amp;CIK=0001781992" TargetMode="External"/><Relationship Id="rId16" Type="http://schemas.openxmlformats.org/officeDocument/2006/relationships/hyperlink" Target="http://www.sec.gov/cgi-bin/browse-edgar?action=getcompany&amp;CIK=0001781986" TargetMode="External"/><Relationship Id="rId17" Type="http://schemas.openxmlformats.org/officeDocument/2006/relationships/hyperlink" Target="http://www.sec.gov/cgi-bin/browse-edgar?action=getcompany&amp;CIK=0001782071" TargetMode="External"/><Relationship Id="rId18" Type="http://schemas.openxmlformats.org/officeDocument/2006/relationships/hyperlink" Target="http://www.sec.gov/cgi-bin/browse-edgar?action=getcompany&amp;CIK=00017819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2019-12-24T05:07:35Z</dcterms:created>
  <dcterms:modified xsi:type="dcterms:W3CDTF">2019-12-24T05:07:35Z</dcterms:modified>
</cp:coreProperties>
</file>