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May 30, 2024</w:t>
      </w:r>
    </w:p>
    <w:p>
      <w:pPr>
        <w:spacing w:after="0" w:line="2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ACT OF 1933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REPAY HOLDINGS CORPORATION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6" w:right="339" w:bottom="1440" w:gutter="0" w:footer="0" w:header="0"/>
        </w:sectPr>
      </w:pPr>
    </w:p>
    <w:p>
      <w:pPr>
        <w:spacing w:after="0" w:line="19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98-1496050</w:t>
      </w: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(I.R.S. Employer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466" w:right="33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West Paces Ferry Road,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504-7472</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40"/>
          </w:cols>
          <w:pgMar w:left="320" w:top="466" w:right="339" w:bottom="1440" w:gutter="0" w:footer="0" w:header="0"/>
          <w:type w:val="continuous"/>
        </w:sect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Repay Holdings Corporation Second Amended and Restated Omnibus Incentive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Tyler B. Dempsey, Esq.</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 West Paces Ferry Road</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(404) 504-7472</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W. Ghegan, Esq.</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Heather M. Ducat, Esq.</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Troutman Pepper Hamilton Sanders LLP</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600 Peachtree Street, NE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30308</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(404) 885-3000</w:t>
      </w:r>
    </w:p>
    <w:p>
      <w:pPr>
        <w:spacing w:after="0" w:line="204"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600" w:type="dxa"/>
        <w:tblCellMar>
          <w:top w:w="0" w:type="dxa"/>
          <w:left w:w="0" w:type="dxa"/>
          <w:bottom w:w="0" w:type="dxa"/>
          <w:right w:w="0" w:type="dxa"/>
        </w:tblCellMar>
      </w:tblPr>
      <w:tr>
        <w:trPr>
          <w:trHeight w:val="220"/>
        </w:trPr>
        <w:tc>
          <w:tcPr>
            <w:tcW w:w="4740" w:type="dxa"/>
            <w:vAlign w:val="bottom"/>
          </w:tcPr>
          <w:p>
            <w:pPr>
              <w:jc w:val="center"/>
              <w:ind w:right="1351"/>
              <w:spacing w:after="0" w:line="207" w:lineRule="exact"/>
              <w:rPr>
                <w:sz w:val="20"/>
                <w:szCs w:val="20"/>
                <w:color w:val="auto"/>
              </w:rPr>
            </w:pPr>
            <w:r>
              <w:rPr>
                <w:rFonts w:ascii="Times New Roman" w:cs="Times New Roman" w:eastAsia="Times New Roman" w:hAnsi="Times New Roman"/>
                <w:sz w:val="18"/>
                <w:szCs w:val="18"/>
                <w:color w:val="auto"/>
                <w:w w:val="98"/>
              </w:rPr>
              <w:t xml:space="preserve">Large accelerated filer </w:t>
            </w:r>
            <w:r>
              <w:rPr>
                <w:rFonts w:ascii="MS PGothic" w:cs="MS PGothic" w:eastAsia="MS PGothic" w:hAnsi="MS PGothic"/>
                <w:sz w:val="18"/>
                <w:szCs w:val="18"/>
                <w:color w:val="auto"/>
                <w:w w:val="98"/>
              </w:rPr>
              <w:t>☒</w:t>
            </w:r>
          </w:p>
        </w:tc>
        <w:tc>
          <w:tcPr>
            <w:tcW w:w="3580" w:type="dxa"/>
            <w:vAlign w:val="bottom"/>
          </w:tcPr>
          <w:p>
            <w:pPr>
              <w:ind w:left="14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15"/>
        </w:trPr>
        <w:tc>
          <w:tcPr>
            <w:tcW w:w="4740" w:type="dxa"/>
            <w:vAlign w:val="bottom"/>
          </w:tcPr>
          <w:p>
            <w:pPr>
              <w:jc w:val="center"/>
              <w:ind w:right="1331"/>
              <w:spacing w:after="0" w:line="207" w:lineRule="exact"/>
              <w:rPr>
                <w:sz w:val="20"/>
                <w:szCs w:val="20"/>
                <w:color w:val="auto"/>
              </w:rPr>
            </w:pPr>
            <w:r>
              <w:rPr>
                <w:rFonts w:ascii="Times New Roman" w:cs="Times New Roman" w:eastAsia="Times New Roman" w:hAnsi="Times New Roman"/>
                <w:sz w:val="18"/>
                <w:szCs w:val="18"/>
                <w:color w:val="auto"/>
                <w:w w:val="98"/>
              </w:rPr>
              <w:t xml:space="preserve">Non-accelerated filer </w:t>
            </w:r>
            <w:r>
              <w:rPr>
                <w:rFonts w:ascii="MS PGothic" w:cs="MS PGothic" w:eastAsia="MS PGothic" w:hAnsi="MS PGothic"/>
                <w:sz w:val="18"/>
                <w:szCs w:val="18"/>
                <w:color w:val="auto"/>
                <w:w w:val="98"/>
              </w:rPr>
              <w:t>☐</w:t>
            </w:r>
          </w:p>
        </w:tc>
        <w:tc>
          <w:tcPr>
            <w:tcW w:w="3580" w:type="dxa"/>
            <w:vAlign w:val="bottom"/>
          </w:tcPr>
          <w:p>
            <w:pPr>
              <w:ind w:left="1420"/>
              <w:spacing w:after="0" w:line="207" w:lineRule="exact"/>
              <w:rPr>
                <w:sz w:val="20"/>
                <w:szCs w:val="20"/>
                <w:color w:val="auto"/>
              </w:rPr>
            </w:pPr>
            <w:r>
              <w:rPr>
                <w:rFonts w:ascii="Times New Roman" w:cs="Times New Roman" w:eastAsia="Times New Roman" w:hAnsi="Times New Roman"/>
                <w:sz w:val="18"/>
                <w:szCs w:val="18"/>
                <w:color w:val="auto"/>
                <w:w w:val="97"/>
              </w:rPr>
              <w:t xml:space="preserve">Smaller reporting company </w:t>
            </w:r>
            <w:r>
              <w:rPr>
                <w:rFonts w:ascii="MS PGothic" w:cs="MS PGothic" w:eastAsia="MS PGothic" w:hAnsi="MS PGothic"/>
                <w:sz w:val="18"/>
                <w:szCs w:val="18"/>
                <w:color w:val="auto"/>
                <w:w w:val="97"/>
              </w:rPr>
              <w:t>☐</w:t>
            </w:r>
          </w:p>
        </w:tc>
      </w:tr>
      <w:tr>
        <w:trPr>
          <w:trHeight w:val="302"/>
        </w:trPr>
        <w:tc>
          <w:tcPr>
            <w:tcW w:w="4740" w:type="dxa"/>
            <w:vAlign w:val="bottom"/>
          </w:tcPr>
          <w:p>
            <w:pPr>
              <w:jc w:val="center"/>
              <w:ind w:right="1331"/>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3580" w:type="dxa"/>
            <w:vAlign w:val="bottom"/>
          </w:tcPr>
          <w:p>
            <w:pPr>
              <w:ind w:left="1420"/>
              <w:spacing w:after="0" w:line="207" w:lineRule="exact"/>
              <w:rPr>
                <w:sz w:val="20"/>
                <w:szCs w:val="20"/>
                <w:color w:val="auto"/>
              </w:rPr>
            </w:pPr>
            <w:r>
              <w:rPr>
                <w:rFonts w:ascii="Times New Roman" w:cs="Times New Roman" w:eastAsia="Times New Roman" w:hAnsi="Times New Roman"/>
                <w:sz w:val="18"/>
                <w:szCs w:val="18"/>
                <w:color w:val="auto"/>
                <w:w w:val="97"/>
              </w:rPr>
              <w:t xml:space="preserve">Emerging growth company </w:t>
            </w:r>
            <w:r>
              <w:rPr>
                <w:rFonts w:ascii="MS PGothic" w:cs="MS PGothic" w:eastAsia="MS PGothic" w:hAnsi="MS PGothic"/>
                <w:sz w:val="18"/>
                <w:szCs w:val="18"/>
                <w:color w:val="auto"/>
                <w:w w:val="97"/>
              </w:rPr>
              <w:t>☐</w:t>
            </w:r>
          </w:p>
        </w:tc>
      </w:tr>
    </w:tbl>
    <w:p>
      <w:pPr>
        <w:spacing w:after="0" w:line="16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140970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583565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6"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Repay Holdings Corp. (the “Company”) has filed this Registration Statement on Form S-8 (the “Registration Statement”) with the Securities and Exchange Commission (the “SEC”) under the Securities Act of 1933, as amended (the “Securities Act”), to register (i) an additional 8,400,000 shares of the Company’s Class A common stock, $0.0001 par value per share (“Common Stock”), that may be issued under the Company’s Second Amended and Restated Omnibus Incentive Plan (the “Plan”); and (ii) such additional shares that may become issuable in accordance with the adjustment and anti-dilution provisions of the Plan. The Company previously registered, for issuance under the Plan, an aggregate of 7,326,728 shares on a Form S-8 filed on September 20, 2019 (File No. 333-233879) and 6,500,000 shares on a Form S-8 filed on July 8, 2022 (File No. 333-265480).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the Registration Statement is omitted from this filing in accordance with the provisions of Rule 428 under the 1933 Act and the introductory note to Part I of the Registration Statement. The documents containing the information specified in Part I will be delivered to the participants in the plan covered by this registration statement as required by Rule 428(b)(1).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documents filed with the SEC by the Registrant pursuant to the 1933 Act and the Securities Exchange Act of 1934, as amended (the “1934 Act”), are incorporated herein by reference, to the extent that such documents are considered filed with the SEC:</w:t>
      </w:r>
    </w:p>
    <w:p>
      <w:pPr>
        <w:spacing w:after="0" w:line="163" w:lineRule="exact"/>
        <w:rPr>
          <w:sz w:val="20"/>
          <w:szCs w:val="20"/>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Registrant’s Annual Report on Form 10-K for the year ended December 31, 2023, filed with the SEC on </w:t>
      </w:r>
      <w:hyperlink r:id="rId14">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38531).</w:t>
      </w:r>
    </w:p>
    <w:p>
      <w:pPr>
        <w:spacing w:after="0" w:line="204" w:lineRule="exact"/>
        <w:rPr>
          <w:sz w:val="20"/>
          <w:szCs w:val="20"/>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The Registrant’s Quarterly Report on Form 10-Q, for the fiscal quarter ended March 31, 2024, filed with the SEC on </w:t>
      </w:r>
      <w:hyperlink r:id="rId15">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38531).</w:t>
      </w:r>
    </w:p>
    <w:p>
      <w:pPr>
        <w:spacing w:after="0" w:line="204" w:lineRule="exact"/>
        <w:rPr>
          <w:sz w:val="20"/>
          <w:szCs w:val="20"/>
          <w:color w:val="auto"/>
        </w:rPr>
      </w:pPr>
    </w:p>
    <w:p>
      <w:pPr>
        <w:jc w:val="both"/>
        <w:ind w:firstLine="322"/>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The Registrant’s Current Reports on Form 8-K, filed with the SEC on </w:t>
      </w:r>
      <w:hyperlink r:id="rId16">
        <w:r>
          <w:rPr>
            <w:rFonts w:ascii="Times New Roman" w:cs="Times New Roman" w:eastAsia="Times New Roman" w:hAnsi="Times New Roman"/>
            <w:sz w:val="18"/>
            <w:szCs w:val="18"/>
            <w:u w:val="single" w:color="auto"/>
            <w:color w:val="0000EE"/>
          </w:rPr>
          <w:t>February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those portions furnished pursuant to Item 2.02 and Item 7.01, if applicable) (File No. 001-38531).</w:t>
      </w:r>
    </w:p>
    <w:p>
      <w:pPr>
        <w:spacing w:after="0" w:line="163" w:lineRule="exact"/>
        <w:rPr>
          <w:sz w:val="20"/>
          <w:szCs w:val="20"/>
          <w:color w:val="auto"/>
        </w:rPr>
      </w:pPr>
    </w:p>
    <w:p>
      <w:pPr>
        <w:jc w:val="both"/>
        <w:ind w:right="20" w:firstLine="322"/>
        <w:spacing w:after="0" w:line="279"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(4)    The description of the Registrant’s securities contained in our Registration Statement on Form 8-A (File No. 001-38531), filed with the SEC on </w:t>
      </w:r>
      <w:hyperlink r:id="rId17">
        <w:r>
          <w:rPr>
            <w:rFonts w:ascii="Times New Roman" w:cs="Times New Roman" w:eastAsia="Times New Roman" w:hAnsi="Times New Roman"/>
            <w:sz w:val="18"/>
            <w:szCs w:val="18"/>
            <w:u w:val="single" w:color="auto"/>
            <w:color w:val="0000EE"/>
          </w:rPr>
          <w:t>June 15, 2018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 amendments or reports filed for the purpose of updating such description.</w:t>
      </w:r>
    </w:p>
    <w:p>
      <w:pPr>
        <w:spacing w:after="0" w:line="16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1934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SEC.</w:t>
      </w:r>
    </w:p>
    <w:p>
      <w:pPr>
        <w:spacing w:after="0" w:line="18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West Paces Ferry Road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200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Atlanta, GA 30305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(404) 504-7472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6" w:lineRule="exact"/>
        <w:rPr>
          <w:sz w:val="20"/>
          <w:szCs w:val="20"/>
          <w:color w:val="auto"/>
        </w:rPr>
      </w:pPr>
    </w:p>
    <w:p>
      <w:pPr>
        <w:jc w:val="both"/>
        <w:ind w:firstLine="322"/>
        <w:spacing w:after="0" w:line="286" w:lineRule="auto"/>
        <w:rPr>
          <w:sz w:val="20"/>
          <w:szCs w:val="20"/>
          <w:color w:val="auto"/>
        </w:rPr>
      </w:pPr>
      <w:r>
        <w:rPr>
          <w:rFonts w:ascii="Times New Roman" w:cs="Times New Roman" w:eastAsia="Times New Roman" w:hAnsi="Times New Roman"/>
          <w:sz w:val="17"/>
          <w:szCs w:val="17"/>
          <w:color w:val="auto"/>
        </w:rPr>
        <w:t>Certain legal matters with respect to the validity of the shares of common stock registered hereby will be passed upon for the Company by Tyler B. Dempsey, Esq., General Counsel. Mr. Dempsey is paid a salary by the Company, is a participant in various employee benefit plans offered to the Company’s employees and beneficially owns, or has rights to acquire, an aggregate of less than one percent of the shares of the Company’s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6"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8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spacing w:after="0" w:line="184"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The registrant believes that these provisions and agreements are necessary to attract qualified directors.</w:t>
      </w:r>
    </w:p>
    <w:p>
      <w:pPr>
        <w:spacing w:after="0" w:line="184"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2" w:lineRule="exact"/>
        <w:rPr>
          <w:sz w:val="20"/>
          <w:szCs w:val="20"/>
          <w:color w:val="auto"/>
        </w:rPr>
      </w:pPr>
    </w:p>
    <w:p>
      <w:pPr>
        <w:ind w:left="800" w:right="20" w:hanging="791"/>
        <w:spacing w:after="0" w:line="279" w:lineRule="auto"/>
        <w:tabs>
          <w:tab w:leader="none" w:pos="780" w:val="left"/>
        </w:tabs>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20">
        <w:r>
          <w:rPr>
            <w:rFonts w:ascii="Times New Roman" w:cs="Times New Roman" w:eastAsia="Times New Roman" w:hAnsi="Times New Roman"/>
            <w:sz w:val="18"/>
            <w:szCs w:val="18"/>
            <w:u w:val="single" w:color="auto"/>
            <w:color w:val="0000EE"/>
          </w:rPr>
          <w:t>Certificate of Incorporation of the Company (incorporated by reference to Exhibit 3.2 of the Company’s Form 8-K (File No. 001-38531), filed</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with the SEC on July 17, 2019).</w:t>
        </w:r>
      </w:hyperlink>
    </w:p>
    <w:p>
      <w:pPr>
        <w:spacing w:after="0" w:line="163"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hyperlink r:id="rId21">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7"/>
            <w:szCs w:val="17"/>
            <w:u w:val="single" w:color="auto"/>
            <w:color w:val="0000EE"/>
          </w:rPr>
          <w:t>Amendment to Certificate of Incorporation of the Company (incorporated by reference to Exhibit 3.1 of the Company’s Form 8-K (File No. 001-</w:t>
        </w:r>
      </w:hyperlink>
    </w:p>
    <w:p>
      <w:pPr>
        <w:spacing w:after="0" w:line="26"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38351), filed with the SEC on June 9, 2022).</w:t>
        </w:r>
      </w:hyperlink>
    </w:p>
    <w:p>
      <w:pPr>
        <w:spacing w:after="0" w:line="204" w:lineRule="exact"/>
        <w:rPr>
          <w:sz w:val="20"/>
          <w:szCs w:val="20"/>
          <w:color w:val="auto"/>
        </w:rPr>
      </w:pPr>
    </w:p>
    <w:p>
      <w:pPr>
        <w:ind w:left="800" w:hanging="791"/>
        <w:spacing w:after="0" w:line="279" w:lineRule="auto"/>
        <w:tabs>
          <w:tab w:leader="none" w:pos="780" w:val="left"/>
        </w:tabs>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8"/>
            <w:szCs w:val="18"/>
            <w:u w:val="single" w:color="auto"/>
            <w:color w:val="0000EE"/>
          </w:rPr>
          <w:t>Amended and Restated Bylaws of the Company (incorporated by reference to Exhibit 3.1 of the Company’s Form 8-K (001-38531), filed with</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the SEC on February 24, 2023).</w:t>
        </w:r>
      </w:hyperlink>
    </w:p>
    <w:p>
      <w:pPr>
        <w:spacing w:after="0" w:line="163"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Tyler B. Dempsey, Esq.</w:t>
      </w:r>
    </w:p>
    <w:p>
      <w:pPr>
        <w:spacing w:after="0" w:line="222"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Grant Thornton LLP, Independent Registered Public Accounting Firm for Repay Holdings Corporation</w:t>
      </w:r>
    </w:p>
    <w:p>
      <w:pPr>
        <w:spacing w:after="0" w:line="222"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Tyler B. Dempsey, Esq. (included in Exhibit 5.1)</w:t>
      </w:r>
    </w:p>
    <w:p>
      <w:pPr>
        <w:spacing w:after="0" w:line="222"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 (contained on the signature page hereto)</w:t>
      </w:r>
    </w:p>
    <w:p>
      <w:pPr>
        <w:spacing w:after="0" w:line="222" w:lineRule="exact"/>
        <w:rPr>
          <w:rFonts w:ascii="Times New Roman" w:cs="Times New Roman" w:eastAsia="Times New Roman" w:hAnsi="Times New Roman"/>
          <w:sz w:val="18"/>
          <w:szCs w:val="18"/>
          <w:u w:val="single" w:color="auto"/>
          <w:color w:val="0000EE"/>
        </w:rPr>
      </w:pPr>
    </w:p>
    <w:p>
      <w:pPr>
        <w:ind w:left="800" w:hanging="791"/>
        <w:spacing w:after="0" w:line="279" w:lineRule="auto"/>
        <w:tabs>
          <w:tab w:leader="none" w:pos="78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Second Amended and Restated Repay Holdings Corporation Omnibus Incentive Plan, effective as of May 30, 2024 (incorporated by reference to</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Annex A to the Company’s definite proxy statement on DEF14A (File No. 001-38531), filed with the SEC on April 19, 2024).</w:t>
        </w:r>
      </w:hyperlink>
    </w:p>
    <w:p>
      <w:pPr>
        <w:spacing w:after="0" w:line="163"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22" w:lineRule="exact"/>
        <w:rPr>
          <w:rFonts w:ascii="Times New Roman" w:cs="Times New Roman" w:eastAsia="Times New Roman" w:hAnsi="Times New Roman"/>
          <w:sz w:val="18"/>
          <w:szCs w:val="18"/>
          <w:u w:val="single" w:color="auto"/>
          <w:color w:val="0000EE"/>
        </w:rPr>
      </w:pPr>
    </w:p>
    <w:p>
      <w:pPr>
        <w:ind w:left="320" w:hanging="313"/>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8"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6" w:lineRule="exact"/>
        <w:rPr>
          <w:rFonts w:ascii="Times New Roman" w:cs="Times New Roman" w:eastAsia="Times New Roman" w:hAnsi="Times New Roman"/>
          <w:sz w:val="18"/>
          <w:szCs w:val="18"/>
          <w:u w:val="single" w:color="auto"/>
          <w:color w:val="0000EE"/>
        </w:rPr>
      </w:pPr>
    </w:p>
    <w:p>
      <w:pPr>
        <w:ind w:left="32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2" w:lineRule="exact"/>
        <w:rPr>
          <w:rFonts w:ascii="Times New Roman" w:cs="Times New Roman" w:eastAsia="Times New Roman" w:hAnsi="Times New Roman"/>
          <w:sz w:val="18"/>
          <w:szCs w:val="18"/>
          <w:u w:val="single" w:color="auto"/>
          <w:color w:val="0000EE"/>
        </w:rPr>
      </w:pPr>
    </w:p>
    <w:p>
      <w:pPr>
        <w:ind w:left="6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2" w:lineRule="exact"/>
        <w:rPr>
          <w:rFonts w:ascii="Times New Roman" w:cs="Times New Roman" w:eastAsia="Times New Roman" w:hAnsi="Times New Roman"/>
          <w:sz w:val="18"/>
          <w:szCs w:val="18"/>
          <w:u w:val="single" w:color="auto"/>
          <w:color w:val="0000EE"/>
        </w:rPr>
      </w:pPr>
    </w:p>
    <w:p>
      <w:pPr>
        <w:ind w:left="98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1933 Act; and</w:t>
      </w:r>
    </w:p>
    <w:p>
      <w:pPr>
        <w:spacing w:after="0" w:line="222" w:lineRule="exact"/>
        <w:rPr>
          <w:rFonts w:ascii="Times New Roman" w:cs="Times New Roman" w:eastAsia="Times New Roman" w:hAnsi="Times New Roman"/>
          <w:sz w:val="18"/>
          <w:szCs w:val="18"/>
          <w:u w:val="single" w:color="auto"/>
          <w:color w:val="0000EE"/>
        </w:rPr>
      </w:pPr>
    </w:p>
    <w:p>
      <w:pPr>
        <w:jc w:val="both"/>
        <w:ind w:left="660" w:firstLine="322"/>
        <w:spacing w:after="0" w:line="254"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4" w:lineRule="exact"/>
        <w:rPr>
          <w:rFonts w:ascii="Times New Roman" w:cs="Times New Roman" w:eastAsia="Times New Roman" w:hAnsi="Times New Roman"/>
          <w:sz w:val="18"/>
          <w:szCs w:val="18"/>
          <w:u w:val="single" w:color="auto"/>
          <w:color w:val="0000EE"/>
        </w:rPr>
      </w:pPr>
    </w:p>
    <w:p>
      <w:pPr>
        <w:ind w:left="660" w:firstLine="314"/>
        <w:spacing w:after="0" w:line="279" w:lineRule="auto"/>
        <w:tabs>
          <w:tab w:leader="none" w:pos="13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include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u w:val="single" w:color="auto"/>
          <w:color w:val="0000EE"/>
        </w:rPr>
      </w:pPr>
    </w:p>
    <w:p>
      <w:pPr>
        <w:jc w:val="both"/>
        <w:ind w:left="320"/>
        <w:spacing w:after="0" w:line="26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15(d) of the 1934 Act that are incorporated by reference in this registration statement.</w:t>
      </w:r>
    </w:p>
    <w:p>
      <w:pPr>
        <w:spacing w:after="0" w:line="175" w:lineRule="exact"/>
        <w:rPr>
          <w:rFonts w:ascii="Times New Roman" w:cs="Times New Roman" w:eastAsia="Times New Roman" w:hAnsi="Times New Roman"/>
          <w:sz w:val="18"/>
          <w:szCs w:val="18"/>
          <w:u w:val="single" w:color="auto"/>
          <w:color w:val="0000EE"/>
        </w:rPr>
      </w:pPr>
    </w:p>
    <w:p>
      <w:pPr>
        <w:ind w:left="320" w:right="100" w:firstLine="322"/>
        <w:spacing w:after="0" w:line="264" w:lineRule="auto"/>
        <w:rPr>
          <w:sz w:val="20"/>
          <w:szCs w:val="20"/>
          <w:color w:val="auto"/>
        </w:rPr>
      </w:pPr>
      <w:r>
        <w:rPr>
          <w:rFonts w:ascii="Times New Roman" w:cs="Times New Roman" w:eastAsia="Times New Roman" w:hAnsi="Times New Roman"/>
          <w:sz w:val="18"/>
          <w:szCs w:val="18"/>
          <w:color w:val="auto"/>
        </w:rPr>
        <w:t xml:space="preserve">(2)    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9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ind w:left="320" w:right="700" w:firstLine="322"/>
        <w:spacing w:after="0" w:line="279"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 xml:space="preserve">(b)   The undersigned Registrant hereby undertakes that, for purposes of determining any liability under the 1933 Act, each filing of the Registrant’s annual report pursuant to Section 13(a) or Section 15(d) of the 1934 Act (and, where applicable, each filing of an employee benefit plan’s annual report pursuant to Section 15(d) of the 1934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0"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1933 Act may be permitted to directors, officers and controlling persons of the Registrant pursuant to the foregoing provisions, or otherwise, the Registrant has been advised that, in the opinion of the SEC,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1933 Act,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May 30,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Timothy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16510</wp:posOffset>
            </wp:positionV>
            <wp:extent cx="3348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Timothy J. Murphy</w:t>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6"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Morris, Timothy J. Murphy and Tyler B. Dempsey or any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might or would do in person, hereby ratifying and confirming all that said attorneys-in-fact and agents or any of them, or their or his substitute or substitutes, may lawfully do or cause to be done by virtue hereof.</w:t>
      </w:r>
    </w:p>
    <w:p>
      <w:pPr>
        <w:spacing w:after="0" w:line="184"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1933 Act, this Registration Statement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262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80" w:type="dxa"/>
            <w:vAlign w:val="bottom"/>
          </w:tcPr>
          <w:p>
            <w:pPr>
              <w:spacing w:after="0"/>
              <w:rPr>
                <w:sz w:val="17"/>
                <w:szCs w:val="17"/>
                <w:color w:val="auto"/>
              </w:rPr>
            </w:pPr>
          </w:p>
        </w:tc>
        <w:tc>
          <w:tcPr>
            <w:tcW w:w="228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80" w:type="dxa"/>
            <w:vAlign w:val="bottom"/>
          </w:tcPr>
          <w:p>
            <w:pPr>
              <w:spacing w:after="0"/>
              <w:rPr>
                <w:sz w:val="17"/>
                <w:szCs w:val="17"/>
                <w:color w:val="auto"/>
              </w:rPr>
            </w:pPr>
          </w:p>
        </w:tc>
        <w:tc>
          <w:tcPr>
            <w:tcW w:w="13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Morris</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Morris</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Timothy J. Murphy</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J. Murphy</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Thomas Sullivan</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Vice President, Corporate Controller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Thomas Sullivan</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Shaler Alias</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President and 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Shaler Alias</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Peter Kight</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rPr>
              <w:t>Chairman of the Board</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Peter Kight</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Paul Garcia</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Paul Garcia</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Maryann Goebel</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Maryann Goebel</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H. Hartheimer</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H. Hartheimer</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William Jacobs</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William Jacobs</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Thornburgh</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Richard Thornburgh</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Emnet Rios</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Director</w:t>
            </w:r>
          </w:p>
        </w:tc>
        <w:tc>
          <w:tcPr>
            <w:tcW w:w="238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2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Emnet Rios</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1"/>
        </w:trPr>
        <w:tc>
          <w:tcPr>
            <w:tcW w:w="1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58990" cy="1210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5899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30,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West Paces Ferry Road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30305</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am General Counsel for Repay Holdings Corporation, a Delaware corporation (the “Company”), and have advised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8,400,000 shares (the “Shares”) of Class A common stock, $0.0001 par value per share, of the Company (the “Common Stock”), issuable by the Company from time to time pursuant to the Repay Holdings Second Amended and Restated Corporation Omnibus Incentive Plan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8(a) of Form S-8 and Item 601(b)(5)(i) of Regulation S-K.</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 have examined originals or copies of such corporate records, agreements and instruments of the Company, statements and certificates of public officials and officers of the Company, and such other documents, records and instruments, including the Plan, and I have made such legal and factual inquiries as I have deemed necessary or appropriate as a basis for me to render the opinions hereinafter expressed. In my examination of the foregoing, I have assumed the genuineness of all signatures, the legal competence and capacity of natural persons, the authenticity of documents submitted to me as originals and the conformity with authentic original documents of all documents submitted to me as copies. When relevant facts were not independently established, I have relied without independent investigation as to matters of fact upon statements of governmental officials and upon representations made in or pursuant to the certificates and statements of appropriate representatives of the Company.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herewith, I have assumed that (i) all of the documents referred to in this opinion letter have been duly authorized by, have been duly executed and delivered by, and constitute the valid, binding and enforceable obligations of, all of the parties to such documents, (ii) all of the signatories to the documents referred to in this opinion letter have been duly authorized, and (iii) all of the parties to the documents referred to in this opinion letter are duly organized and validly existing and have the power and authority (corporate or other) to execute, deliver and perform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1412875</wp:posOffset>
            </wp:positionV>
            <wp:extent cx="7132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262255</wp:posOffset>
            </wp:positionV>
            <wp:extent cx="7196455" cy="877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96455" cy="87757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May 30,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do not purport to express an opinion on any laws other than the laws of the State of Delaware. The opinions set forth herein are made as of the date hereof and are subject to, and may be limited by, future changes in the factual matters set forth herein, and I undertake no duty to advise you of the same. The opinions expressed herein are based upon the law in effect (and published or otherwise generally available) on the date hereof, and I assume no obligation to revise or supplement these opinions should such law be changed by legislative action, judicial decision or otherwise. In rendering my opinions, I have not considered, and hereby disclaim any opinion as to, the application or impact of any laws, cases, decisions, rules or regulations of any other jurisdiction, court or administrative agency.</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Based upon the foregoing and in reliance thereon, and subject to the assumptions, comments, qualifications, limitations and exceptions set forth herein, I am of the opinion that the Shares have been duly authorized for issuance, and when issued, delivered and paid for in accordance with the Plan (assuming that, upon any issuance of the Shares, the total number of shares of Common Stock issued and outstanding will not exceed the total number of shares of Common Stock that the Company is then authorized to issue under its Certificate of Incorporation), the Shares will be legally issued, fully paid and non-assessable.</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do not render any opinions except as set forth above. I hereby consent to the filing of this opinion as Exhibit 5.1 to the Registration Statement and to the use of my name under the caption “Legal Matters” in the prospectus filed as a part thereof. I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I do not admit that I am within the category of persons whose consent is required by Section 7 of the Securities Act or the rules and regulations promulgated thereunder by the Commission.</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Tyler B.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16510</wp:posOffset>
            </wp:positionV>
            <wp:extent cx="35623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Tyler B.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3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issued our reports dated February 29, 2024 with respect to the consolidated financial statements and internal control over financial reporting included in the Annual Report of Repay Holdings Corporation on Form 10-K for the year ended December 31, 2023, which are incorporated by reference in this Registration Statement. We consent to the incorporation by reference of the aforementioned reports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430530</wp:posOffset>
            </wp:positionV>
            <wp:extent cx="7132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(Form Type)</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940" w:type="dxa"/>
            <w:vAlign w:val="bottom"/>
            <w:tcBorders>
              <w:top w:val="single" w:sz="8" w:color="auto"/>
              <w:left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56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5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37"/>
        </w:trPr>
        <w:tc>
          <w:tcPr>
            <w:tcW w:w="1940" w:type="dxa"/>
            <w:vAlign w:val="bottom"/>
            <w:tcBorders>
              <w:left w:val="single" w:sz="8" w:color="auto"/>
              <w:bottom w:val="single" w:sz="8" w:color="auto"/>
              <w:right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Title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 (1)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 (2)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 Price (2)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(2)</w:t>
            </w:r>
          </w:p>
        </w:tc>
      </w:tr>
      <w:tr>
        <w:trPr>
          <w:trHeight w:val="190"/>
        </w:trPr>
        <w:tc>
          <w:tcPr>
            <w:tcW w:w="1940" w:type="dxa"/>
            <w:vAlign w:val="bottom"/>
            <w:tcBorders>
              <w:left w:val="single" w:sz="8" w:color="auto"/>
              <w:right w:val="single" w:sz="8" w:color="auto"/>
            </w:tcBorders>
          </w:tcPr>
          <w:p>
            <w:pPr>
              <w:jc w:val="center"/>
              <w:ind w:left="71"/>
              <w:spacing w:after="0" w:line="190" w:lineRule="exact"/>
              <w:rPr>
                <w:sz w:val="20"/>
                <w:szCs w:val="20"/>
                <w:color w:val="auto"/>
              </w:rPr>
            </w:pPr>
            <w:r>
              <w:rPr>
                <w:rFonts w:ascii="Times New Roman" w:cs="Times New Roman" w:eastAsia="Times New Roman" w:hAnsi="Times New Roman"/>
                <w:sz w:val="18"/>
                <w:szCs w:val="18"/>
                <w:color w:val="auto"/>
                <w:w w:val="95"/>
              </w:rPr>
              <w:t>Equity</w:t>
            </w:r>
          </w:p>
        </w:tc>
        <w:tc>
          <w:tcPr>
            <w:tcW w:w="160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Class A Common</w:t>
            </w:r>
          </w:p>
        </w:tc>
        <w:tc>
          <w:tcPr>
            <w:tcW w:w="1120" w:type="dxa"/>
            <w:vAlign w:val="bottom"/>
          </w:tcPr>
          <w:p>
            <w:pPr>
              <w:jc w:val="center"/>
              <w:ind w:left="11"/>
              <w:spacing w:after="0" w:line="190" w:lineRule="exact"/>
              <w:rPr>
                <w:sz w:val="20"/>
                <w:szCs w:val="20"/>
                <w:color w:val="auto"/>
              </w:rPr>
            </w:pPr>
            <w:r>
              <w:rPr>
                <w:rFonts w:ascii="Times New Roman" w:cs="Times New Roman" w:eastAsia="Times New Roman" w:hAnsi="Times New Roman"/>
                <w:sz w:val="18"/>
                <w:szCs w:val="18"/>
                <w:color w:val="auto"/>
                <w:w w:val="99"/>
              </w:rPr>
              <w:t>Rule 457(h)</w:t>
            </w:r>
          </w:p>
        </w:tc>
        <w:tc>
          <w:tcPr>
            <w:tcW w:w="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8,400,000</w:t>
            </w:r>
          </w:p>
        </w:tc>
        <w:tc>
          <w:tcPr>
            <w:tcW w:w="11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rPr>
              <w:t>$9.83</w:t>
            </w:r>
          </w:p>
        </w:tc>
        <w:tc>
          <w:tcPr>
            <w:tcW w:w="156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$82,572,000</w:t>
            </w:r>
          </w:p>
        </w:tc>
        <w:tc>
          <w:tcPr>
            <w:tcW w:w="12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$147.60 per</w:t>
            </w:r>
          </w:p>
        </w:tc>
        <w:tc>
          <w:tcPr>
            <w:tcW w:w="134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8"/>
              </w:rPr>
              <w:t>$12,187.63</w:t>
            </w: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$0.001 par</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million dollars</w:t>
            </w:r>
          </w:p>
        </w:tc>
        <w:tc>
          <w:tcPr>
            <w:tcW w:w="1340" w:type="dxa"/>
            <w:vAlign w:val="bottom"/>
            <w:tcBorders>
              <w:right w:val="single" w:sz="8" w:color="auto"/>
            </w:tcBorders>
          </w:tcPr>
          <w:p>
            <w:pPr>
              <w:spacing w:after="0"/>
              <w:rPr>
                <w:sz w:val="18"/>
                <w:szCs w:val="18"/>
                <w:color w:val="auto"/>
              </w:rPr>
            </w:pPr>
          </w:p>
        </w:tc>
      </w:tr>
      <w:tr>
        <w:trPr>
          <w:trHeight w:val="233"/>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w:t>
            </w: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8"/>
        </w:trPr>
        <w:tc>
          <w:tcPr>
            <w:tcW w:w="1940" w:type="dxa"/>
            <w:vAlign w:val="bottom"/>
            <w:tcBorders>
              <w:left w:val="single" w:sz="8" w:color="auto"/>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1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$82,572,000</w:t>
            </w:r>
          </w:p>
        </w:tc>
        <w:tc>
          <w:tcPr>
            <w:tcW w:w="12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$12,187.63</w:t>
            </w:r>
          </w:p>
        </w:tc>
      </w:tr>
      <w:tr>
        <w:trPr>
          <w:trHeight w:val="208"/>
        </w:trPr>
        <w:tc>
          <w:tcPr>
            <w:tcW w:w="1940" w:type="dxa"/>
            <w:vAlign w:val="bottom"/>
            <w:tcBorders>
              <w:left w:val="single" w:sz="8" w:color="auto"/>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8"/>
        </w:trPr>
        <w:tc>
          <w:tcPr>
            <w:tcW w:w="1940" w:type="dxa"/>
            <w:vAlign w:val="bottom"/>
            <w:tcBorders>
              <w:left w:val="single" w:sz="8" w:color="auto"/>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$12,187.63</w:t>
            </w:r>
          </w:p>
        </w:tc>
      </w:tr>
    </w:tbl>
    <w:p>
      <w:pPr>
        <w:spacing w:after="0" w:line="196" w:lineRule="exact"/>
        <w:rPr>
          <w:sz w:val="20"/>
          <w:szCs w:val="20"/>
          <w:color w:val="auto"/>
        </w:rPr>
      </w:pPr>
    </w:p>
    <w:p>
      <w:pPr>
        <w:jc w:val="both"/>
        <w:ind w:right="20" w:firstLine="7"/>
        <w:spacing w:after="0" w:line="254" w:lineRule="auto"/>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Class A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Repay Holdings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become issuable under the Repay Holdings Corporation Omnibus Incentive Plan (the “</w:t>
      </w:r>
      <w:r>
        <w:rPr>
          <w:rFonts w:ascii="Times New Roman" w:cs="Times New Roman" w:eastAsia="Times New Roman" w:hAnsi="Times New Roman"/>
          <w:sz w:val="18"/>
          <w:szCs w:val="18"/>
          <w:u w:val="single" w:color="auto"/>
          <w:color w:val="auto"/>
        </w:rPr>
        <w:t>Omnibus Incentive Plan</w:t>
      </w:r>
      <w:r>
        <w:rPr>
          <w:rFonts w:ascii="Times New Roman" w:cs="Times New Roman" w:eastAsia="Times New Roman" w:hAnsi="Times New Roman"/>
          <w:sz w:val="18"/>
          <w:szCs w:val="18"/>
          <w:color w:val="auto"/>
        </w:rPr>
        <w:t>”) by reason of any future stock dividend, stock split, recapitalization or other similar transaction.</w:t>
      </w:r>
    </w:p>
    <w:p>
      <w:pPr>
        <w:spacing w:after="0" w:line="1" w:lineRule="exact"/>
        <w:rPr>
          <w:rFonts w:ascii="Times New Roman" w:cs="Times New Roman" w:eastAsia="Times New Roman" w:hAnsi="Times New Roman"/>
          <w:sz w:val="18"/>
          <w:szCs w:val="18"/>
          <w:color w:val="auto"/>
        </w:rPr>
      </w:pPr>
    </w:p>
    <w:p>
      <w:pPr>
        <w:ind w:right="20" w:firstLine="7"/>
        <w:spacing w:after="0" w:line="257"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457(h) and 457(c) solely for the purpose of computing the registration fee, based on the average of the high and low prices of the securities being registered hereby on The Nasdaq Capital Market on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2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sectPr>
      <w:pgSz w:w="11900" w:h="16838" w:orient="portrait"/>
      <w:cols w:equalWidth="0" w:num="1">
        <w:col w:w="11260"/>
      </w:cols>
      <w:pgMar w:left="320" w:top="3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jpe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14" Type="http://schemas.openxmlformats.org/officeDocument/2006/relationships/hyperlink" Target="https://www.sec.gov/ix?doc=/Archives/edgar/data/1720592/000095017024023102/rpay-20231231.htm" TargetMode="External"/><Relationship Id="rId15" Type="http://schemas.openxmlformats.org/officeDocument/2006/relationships/hyperlink" Target="https://www.sec.gov/ix?doc=/Archives/edgar/data/1720592/000095017024056968/rpay-20240331.htm" TargetMode="External"/><Relationship Id="rId16" Type="http://schemas.openxmlformats.org/officeDocument/2006/relationships/hyperlink" Target="https://www.sec.gov/ix?doc=/Archives/edgar/data/1720592/000095017024019344/rpay-20240219.htm" TargetMode="External"/><Relationship Id="rId17" Type="http://schemas.openxmlformats.org/officeDocument/2006/relationships/hyperlink" Target="https://www.sec.gov/Archives/edgar/data/1720592/000121390018007717/f8a12b061518_thunderbridge.htm" TargetMode="External"/><Relationship Id="rId20" Type="http://schemas.openxmlformats.org/officeDocument/2006/relationships/hyperlink" Target="https://www.sec.gov/Archives/edgar/data/1720592/000121390019013004/f8k0719ex3-2_repayhold.htm" TargetMode="External"/><Relationship Id="rId21" Type="http://schemas.openxmlformats.org/officeDocument/2006/relationships/hyperlink" Target="https://www.sec.gov/Archives/edgar/data/1720592/000119312522170564/d359800dex31.htm" TargetMode="External"/><Relationship Id="rId22" Type="http://schemas.openxmlformats.org/officeDocument/2006/relationships/hyperlink" Target="https://www.sec.gov/Archives/edgar/data/1720592/000095017023004375/rpay-ex3_1.htm" TargetMode="External"/><Relationship Id="rId23" Type="http://schemas.openxmlformats.org/officeDocument/2006/relationships/hyperlink" Target="https://www.sec.gov/ix?doc=/Archives/edgar/data/1720592/000110465924049427/tm242844d2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2024-05-30T15:25:17Z</dcterms:created>
  <dcterms:modified xsi:type="dcterms:W3CDTF">2024-05-30T15:25:17Z</dcterms:modified>
</cp:coreProperties>
</file>